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8D" w:rsidRPr="0029198D" w:rsidRDefault="0029198D" w:rsidP="0029198D">
      <w:pPr>
        <w:spacing w:line="360" w:lineRule="auto"/>
        <w:ind w:left="4962" w:right="19"/>
        <w:rPr>
          <w:rFonts w:ascii="Arial" w:hAnsi="Arial" w:cs="Arial"/>
          <w:bCs/>
          <w:sz w:val="14"/>
          <w:szCs w:val="14"/>
        </w:rPr>
      </w:pPr>
      <w:r w:rsidRPr="0029198D">
        <w:rPr>
          <w:rFonts w:ascii="Arial" w:hAnsi="Arial" w:cs="Arial"/>
          <w:bCs/>
          <w:sz w:val="14"/>
          <w:szCs w:val="14"/>
        </w:rPr>
        <w:t>Załącznik do Zarządzenia 67/21</w:t>
      </w:r>
      <w:r>
        <w:rPr>
          <w:rFonts w:ascii="Arial" w:hAnsi="Arial" w:cs="Arial"/>
          <w:bCs/>
          <w:sz w:val="14"/>
          <w:szCs w:val="14"/>
        </w:rPr>
        <w:t xml:space="preserve"> Rektora Państwowej Wyższej </w:t>
      </w:r>
      <w:r w:rsidRPr="0029198D">
        <w:rPr>
          <w:rFonts w:ascii="Arial" w:hAnsi="Arial" w:cs="Arial"/>
          <w:bCs/>
          <w:sz w:val="14"/>
          <w:szCs w:val="14"/>
        </w:rPr>
        <w:t xml:space="preserve">Szkoły Zawodowej im. </w:t>
      </w:r>
      <w:proofErr w:type="spellStart"/>
      <w:r w:rsidRPr="0029198D">
        <w:rPr>
          <w:rFonts w:ascii="Arial" w:hAnsi="Arial" w:cs="Arial"/>
          <w:bCs/>
          <w:sz w:val="14"/>
          <w:szCs w:val="14"/>
        </w:rPr>
        <w:t>Witelona</w:t>
      </w:r>
      <w:proofErr w:type="spellEnd"/>
      <w:r w:rsidRPr="0029198D">
        <w:rPr>
          <w:rFonts w:ascii="Arial" w:hAnsi="Arial" w:cs="Arial"/>
          <w:bCs/>
          <w:sz w:val="14"/>
          <w:szCs w:val="14"/>
        </w:rPr>
        <w:t xml:space="preserve"> w Legnicy</w:t>
      </w:r>
      <w:r>
        <w:rPr>
          <w:rFonts w:ascii="Arial" w:hAnsi="Arial" w:cs="Arial"/>
          <w:bCs/>
          <w:sz w:val="14"/>
          <w:szCs w:val="14"/>
        </w:rPr>
        <w:t xml:space="preserve"> z dnia 8 lipca 2021 r.</w:t>
      </w:r>
    </w:p>
    <w:p w:rsidR="0029198D" w:rsidRDefault="0029198D" w:rsidP="0029198D">
      <w:pPr>
        <w:spacing w:line="360" w:lineRule="auto"/>
        <w:ind w:left="5670" w:right="19" w:hanging="5670"/>
        <w:jc w:val="center"/>
        <w:rPr>
          <w:rFonts w:ascii="Arial" w:hAnsi="Arial" w:cs="Arial"/>
          <w:b/>
          <w:bCs/>
          <w:sz w:val="18"/>
          <w:szCs w:val="18"/>
        </w:rPr>
      </w:pPr>
    </w:p>
    <w:p w:rsidR="0045606D" w:rsidRPr="00A675C3" w:rsidRDefault="0045606D" w:rsidP="0045606D">
      <w:pPr>
        <w:spacing w:line="360" w:lineRule="auto"/>
        <w:ind w:right="19"/>
        <w:jc w:val="center"/>
        <w:rPr>
          <w:rFonts w:ascii="Arial" w:hAnsi="Arial" w:cs="Arial"/>
          <w:sz w:val="18"/>
          <w:szCs w:val="18"/>
        </w:rPr>
      </w:pPr>
      <w:r w:rsidRPr="00A675C3">
        <w:rPr>
          <w:rFonts w:ascii="Arial" w:hAnsi="Arial" w:cs="Arial"/>
          <w:b/>
          <w:bCs/>
          <w:sz w:val="18"/>
          <w:szCs w:val="18"/>
        </w:rPr>
        <w:t>REGULAMIN DZIAŁALNOŚCI NAUKOWEJ</w:t>
      </w:r>
    </w:p>
    <w:p w:rsidR="0045606D" w:rsidRPr="00A675C3" w:rsidRDefault="0045606D" w:rsidP="0029198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A675C3" w:rsidRDefault="0045606D" w:rsidP="0045606D">
      <w:pPr>
        <w:spacing w:line="360" w:lineRule="auto"/>
        <w:ind w:right="19"/>
        <w:jc w:val="center"/>
        <w:rPr>
          <w:rFonts w:ascii="Arial" w:hAnsi="Arial" w:cs="Arial"/>
          <w:sz w:val="18"/>
          <w:szCs w:val="18"/>
        </w:rPr>
      </w:pPr>
      <w:r w:rsidRPr="00A675C3">
        <w:rPr>
          <w:rFonts w:ascii="Arial" w:hAnsi="Arial" w:cs="Arial"/>
          <w:b/>
          <w:bCs/>
          <w:sz w:val="18"/>
          <w:szCs w:val="18"/>
        </w:rPr>
        <w:t>Preambuła</w:t>
      </w:r>
    </w:p>
    <w:p w:rsidR="0045606D" w:rsidRPr="00A675C3" w:rsidRDefault="0045606D" w:rsidP="0045606D">
      <w:pPr>
        <w:tabs>
          <w:tab w:val="left" w:pos="341"/>
        </w:tabs>
        <w:spacing w:line="360" w:lineRule="auto"/>
        <w:ind w:left="2"/>
        <w:jc w:val="both"/>
        <w:rPr>
          <w:rFonts w:ascii="Arial" w:hAnsi="Arial" w:cs="Arial"/>
          <w:sz w:val="18"/>
          <w:szCs w:val="18"/>
        </w:rPr>
      </w:pPr>
    </w:p>
    <w:p w:rsidR="001A55CF" w:rsidRPr="008D0843" w:rsidRDefault="0045606D" w:rsidP="0045606D">
      <w:pPr>
        <w:tabs>
          <w:tab w:val="left" w:pos="341"/>
        </w:tabs>
        <w:spacing w:line="360" w:lineRule="auto"/>
        <w:ind w:left="2"/>
        <w:jc w:val="both"/>
        <w:rPr>
          <w:rFonts w:ascii="Arial" w:hAnsi="Arial" w:cs="Arial"/>
          <w:sz w:val="18"/>
          <w:szCs w:val="18"/>
        </w:rPr>
      </w:pPr>
      <w:r w:rsidRPr="008D0843">
        <w:rPr>
          <w:rFonts w:ascii="Arial" w:hAnsi="Arial" w:cs="Arial"/>
          <w:sz w:val="18"/>
          <w:szCs w:val="18"/>
        </w:rPr>
        <w:t xml:space="preserve">Mając na względzie strategię rozwoju Państwowej Wyższej Szkoły Zawodowej im. </w:t>
      </w:r>
      <w:proofErr w:type="spellStart"/>
      <w:r w:rsidRPr="008D0843">
        <w:rPr>
          <w:rFonts w:ascii="Arial" w:hAnsi="Arial" w:cs="Arial"/>
          <w:sz w:val="18"/>
          <w:szCs w:val="18"/>
        </w:rPr>
        <w:t>Witelona</w:t>
      </w:r>
      <w:proofErr w:type="spellEnd"/>
      <w:r w:rsidRPr="008D0843">
        <w:rPr>
          <w:rFonts w:ascii="Arial" w:hAnsi="Arial" w:cs="Arial"/>
          <w:sz w:val="18"/>
          <w:szCs w:val="18"/>
        </w:rPr>
        <w:t xml:space="preserve"> w Legnicy, a także dążenie do rozwoju naukowego pracowników Uczelni skutkujące podniesienie</w:t>
      </w:r>
      <w:r w:rsidR="0029198D" w:rsidRPr="008D0843">
        <w:rPr>
          <w:rFonts w:ascii="Arial" w:hAnsi="Arial" w:cs="Arial"/>
          <w:sz w:val="18"/>
          <w:szCs w:val="18"/>
        </w:rPr>
        <w:t xml:space="preserve">m jakości procesu dydaktycznego, </w:t>
      </w:r>
      <w:r w:rsidRPr="008D0843">
        <w:rPr>
          <w:rFonts w:ascii="Arial" w:hAnsi="Arial" w:cs="Arial"/>
          <w:sz w:val="18"/>
          <w:szCs w:val="18"/>
        </w:rPr>
        <w:t>wprowadza się przedmiotowy Regulamin</w:t>
      </w:r>
      <w:r w:rsidR="00267B79" w:rsidRPr="008D0843">
        <w:rPr>
          <w:rFonts w:ascii="Arial" w:hAnsi="Arial" w:cs="Arial"/>
          <w:sz w:val="18"/>
          <w:szCs w:val="18"/>
        </w:rPr>
        <w:t xml:space="preserve"> Dzia</w:t>
      </w:r>
      <w:r w:rsidR="008D0843" w:rsidRPr="008D0843">
        <w:rPr>
          <w:rFonts w:ascii="Arial" w:hAnsi="Arial" w:cs="Arial"/>
          <w:sz w:val="18"/>
          <w:szCs w:val="18"/>
        </w:rPr>
        <w:t>łalności Naukowej, zwany dalej „Regulaminem DN”</w:t>
      </w:r>
      <w:r w:rsidRPr="008D0843">
        <w:rPr>
          <w:rFonts w:ascii="Arial" w:hAnsi="Arial" w:cs="Arial"/>
          <w:sz w:val="18"/>
          <w:szCs w:val="18"/>
        </w:rPr>
        <w:t xml:space="preserve">. Za cel działalności naukowej uznaje się również dalsze budowanie </w:t>
      </w:r>
      <w:r w:rsidR="001A55CF" w:rsidRPr="008D0843">
        <w:rPr>
          <w:rFonts w:ascii="Arial" w:hAnsi="Arial" w:cs="Arial"/>
          <w:sz w:val="18"/>
          <w:szCs w:val="18"/>
        </w:rPr>
        <w:t xml:space="preserve"> </w:t>
      </w:r>
      <w:r w:rsidRPr="008D0843">
        <w:rPr>
          <w:rFonts w:ascii="Arial" w:hAnsi="Arial" w:cs="Arial"/>
          <w:sz w:val="18"/>
          <w:szCs w:val="18"/>
        </w:rPr>
        <w:t xml:space="preserve">prestiżu </w:t>
      </w:r>
      <w:r w:rsidR="001A55CF" w:rsidRPr="008D0843">
        <w:rPr>
          <w:rFonts w:ascii="Arial" w:hAnsi="Arial" w:cs="Arial"/>
          <w:sz w:val="18"/>
          <w:szCs w:val="18"/>
        </w:rPr>
        <w:t xml:space="preserve"> Państwowej Wyższej Szkoły Zawodowej </w:t>
      </w:r>
    </w:p>
    <w:p w:rsidR="0045606D" w:rsidRDefault="001A55CF" w:rsidP="0045606D">
      <w:pPr>
        <w:tabs>
          <w:tab w:val="left" w:pos="341"/>
        </w:tabs>
        <w:spacing w:line="360" w:lineRule="auto"/>
        <w:ind w:left="2"/>
        <w:jc w:val="both"/>
        <w:rPr>
          <w:rFonts w:ascii="Arial" w:hAnsi="Arial" w:cs="Arial"/>
          <w:sz w:val="18"/>
          <w:szCs w:val="18"/>
        </w:rPr>
      </w:pPr>
      <w:r w:rsidRPr="008D0843">
        <w:rPr>
          <w:rFonts w:ascii="Arial" w:hAnsi="Arial" w:cs="Arial"/>
          <w:sz w:val="18"/>
          <w:szCs w:val="18"/>
        </w:rPr>
        <w:t xml:space="preserve">im. </w:t>
      </w:r>
      <w:proofErr w:type="spellStart"/>
      <w:r w:rsidRPr="008D0843">
        <w:rPr>
          <w:rFonts w:ascii="Arial" w:hAnsi="Arial" w:cs="Arial"/>
          <w:sz w:val="18"/>
          <w:szCs w:val="18"/>
        </w:rPr>
        <w:t>Witelona</w:t>
      </w:r>
      <w:proofErr w:type="spellEnd"/>
      <w:r w:rsidRPr="008D0843">
        <w:rPr>
          <w:rFonts w:ascii="Arial" w:hAnsi="Arial" w:cs="Arial"/>
          <w:sz w:val="18"/>
          <w:szCs w:val="18"/>
        </w:rPr>
        <w:t xml:space="preserve"> w Legnicy, zwanej dalej  </w:t>
      </w:r>
      <w:r w:rsidR="008D0843" w:rsidRPr="008D0843">
        <w:rPr>
          <w:rFonts w:ascii="Arial" w:hAnsi="Arial" w:cs="Arial"/>
          <w:sz w:val="18"/>
          <w:szCs w:val="18"/>
        </w:rPr>
        <w:t>„</w:t>
      </w:r>
      <w:r w:rsidR="0045606D" w:rsidRPr="008D0843">
        <w:rPr>
          <w:rFonts w:ascii="Arial" w:hAnsi="Arial" w:cs="Arial"/>
          <w:sz w:val="18"/>
          <w:szCs w:val="18"/>
        </w:rPr>
        <w:t>Uczelni</w:t>
      </w:r>
      <w:r w:rsidRPr="008D0843">
        <w:rPr>
          <w:rFonts w:ascii="Arial" w:hAnsi="Arial" w:cs="Arial"/>
          <w:sz w:val="18"/>
          <w:szCs w:val="18"/>
        </w:rPr>
        <w:t>ą</w:t>
      </w:r>
      <w:r w:rsidR="00F94D76" w:rsidRPr="008D0843">
        <w:rPr>
          <w:rFonts w:ascii="Arial" w:hAnsi="Arial" w:cs="Arial"/>
          <w:sz w:val="18"/>
          <w:szCs w:val="18"/>
        </w:rPr>
        <w:t>”</w:t>
      </w:r>
      <w:r w:rsidRPr="008D0843">
        <w:rPr>
          <w:rFonts w:ascii="Arial" w:hAnsi="Arial" w:cs="Arial"/>
          <w:sz w:val="18"/>
          <w:szCs w:val="18"/>
        </w:rPr>
        <w:t xml:space="preserve">, </w:t>
      </w:r>
      <w:r w:rsidR="0045606D" w:rsidRPr="008D0843">
        <w:rPr>
          <w:rFonts w:ascii="Arial" w:hAnsi="Arial" w:cs="Arial"/>
          <w:sz w:val="18"/>
          <w:szCs w:val="18"/>
        </w:rPr>
        <w:t xml:space="preserve"> jako innowacyjnej jednostki szkolnictwa wyższego o uznanej pozycji w otoczeniu społeczno-gospodarczym.</w:t>
      </w:r>
    </w:p>
    <w:p w:rsidR="0045606D" w:rsidRPr="00A675C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A675C3" w:rsidRDefault="0045606D" w:rsidP="0045606D">
      <w:pPr>
        <w:spacing w:line="360" w:lineRule="auto"/>
        <w:ind w:right="19"/>
        <w:jc w:val="center"/>
        <w:rPr>
          <w:rFonts w:ascii="Arial" w:hAnsi="Arial" w:cs="Arial"/>
          <w:sz w:val="18"/>
          <w:szCs w:val="18"/>
        </w:rPr>
      </w:pPr>
      <w:r w:rsidRPr="00A675C3">
        <w:rPr>
          <w:rFonts w:ascii="Arial" w:hAnsi="Arial" w:cs="Arial"/>
          <w:b/>
          <w:bCs/>
          <w:sz w:val="18"/>
          <w:szCs w:val="18"/>
        </w:rPr>
        <w:t>PRZEPISY OGÓLNE</w:t>
      </w:r>
    </w:p>
    <w:p w:rsidR="0045606D" w:rsidRPr="00A675C3" w:rsidRDefault="0029198D" w:rsidP="0045606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5606D" w:rsidRPr="00A675C3" w:rsidRDefault="0045606D" w:rsidP="0045606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A675C3">
        <w:rPr>
          <w:rFonts w:ascii="Arial" w:hAnsi="Arial" w:cs="Arial"/>
          <w:bCs/>
          <w:sz w:val="18"/>
          <w:szCs w:val="18"/>
        </w:rPr>
        <w:t>§ 1</w:t>
      </w:r>
    </w:p>
    <w:p w:rsidR="0045606D" w:rsidRPr="007143A3" w:rsidRDefault="0045606D" w:rsidP="0045606D">
      <w:pPr>
        <w:tabs>
          <w:tab w:val="left" w:pos="361"/>
        </w:tabs>
        <w:spacing w:line="360" w:lineRule="auto"/>
        <w:ind w:right="20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Regulamin</w:t>
      </w:r>
      <w:r w:rsidR="00267B79" w:rsidRPr="007143A3">
        <w:rPr>
          <w:rFonts w:ascii="Arial" w:hAnsi="Arial" w:cs="Arial"/>
          <w:sz w:val="18"/>
          <w:szCs w:val="18"/>
        </w:rPr>
        <w:t xml:space="preserve"> DN</w:t>
      </w:r>
      <w:r w:rsidRPr="007143A3">
        <w:rPr>
          <w:rFonts w:ascii="Arial" w:hAnsi="Arial" w:cs="Arial"/>
          <w:sz w:val="18"/>
          <w:szCs w:val="18"/>
        </w:rPr>
        <w:t xml:space="preserve"> określa:</w:t>
      </w:r>
    </w:p>
    <w:p w:rsidR="0045606D" w:rsidRPr="007143A3" w:rsidRDefault="0045606D" w:rsidP="0045606D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kryteria zaliczenia do grupy pracowników badawczo-dydaktycznych,</w:t>
      </w:r>
    </w:p>
    <w:p w:rsidR="0045606D" w:rsidRPr="007143A3" w:rsidRDefault="0045606D" w:rsidP="0045606D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zasady udzielania wsparcia pracownikom badawczo-dydaktycznym w procesie publikacji, a także wsparcia uczestnictwa w konferencjach naukowych,</w:t>
      </w:r>
    </w:p>
    <w:p w:rsidR="0045606D" w:rsidRPr="007143A3" w:rsidRDefault="0045606D" w:rsidP="0045606D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zasady sprawozdawczości pracowników badawczo-dydaktycznych.</w:t>
      </w:r>
    </w:p>
    <w:p w:rsidR="0045606D" w:rsidRPr="007143A3" w:rsidRDefault="0045606D" w:rsidP="0045606D">
      <w:pPr>
        <w:pStyle w:val="Akapitzlist"/>
        <w:tabs>
          <w:tab w:val="left" w:pos="781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5606D" w:rsidRPr="007143A3" w:rsidRDefault="0045606D" w:rsidP="0045606D">
      <w:pPr>
        <w:numPr>
          <w:ilvl w:val="2"/>
          <w:numId w:val="1"/>
        </w:numPr>
        <w:tabs>
          <w:tab w:val="left" w:pos="4561"/>
        </w:tabs>
        <w:spacing w:line="360" w:lineRule="auto"/>
        <w:ind w:left="4561" w:hanging="175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bCs/>
          <w:sz w:val="18"/>
          <w:szCs w:val="18"/>
        </w:rPr>
        <w:t>2</w:t>
      </w:r>
    </w:p>
    <w:p w:rsidR="0045606D" w:rsidRPr="007143A3" w:rsidRDefault="0045606D" w:rsidP="0045606D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Ustala się następujące formy wsparcia dla nauczycieli akademickich zaliczonych do grupy pracowników badawczo-dydaktycznych:</w:t>
      </w:r>
    </w:p>
    <w:p w:rsidR="0045606D" w:rsidRPr="007143A3" w:rsidRDefault="0045606D" w:rsidP="0045606D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wspieranie i/lub dofinansowywanie</w:t>
      </w:r>
      <w:r w:rsidRPr="007143A3">
        <w:rPr>
          <w:rFonts w:ascii="Arial" w:hAnsi="Arial" w:cs="Arial"/>
          <w:sz w:val="18"/>
          <w:szCs w:val="18"/>
        </w:rPr>
        <w:tab/>
        <w:t xml:space="preserve">kosztów publikowania prac naukowych, tj. artykułów naukowych </w:t>
      </w:r>
      <w:r w:rsidRPr="007143A3">
        <w:rPr>
          <w:rFonts w:ascii="Arial" w:hAnsi="Arial" w:cs="Arial"/>
          <w:sz w:val="18"/>
          <w:szCs w:val="18"/>
        </w:rPr>
        <w:br/>
        <w:t>w czasopismach ujętych w aktualnym wykazie ministra właściwego do spraw szkolnictwa wyższego</w:t>
      </w:r>
      <w:r w:rsidR="0029198D" w:rsidRPr="007143A3">
        <w:rPr>
          <w:rFonts w:ascii="Arial" w:hAnsi="Arial" w:cs="Arial"/>
          <w:sz w:val="18"/>
          <w:szCs w:val="18"/>
        </w:rPr>
        <w:t xml:space="preserve"> </w:t>
      </w:r>
      <w:r w:rsidRPr="007143A3">
        <w:rPr>
          <w:rFonts w:ascii="Arial" w:hAnsi="Arial" w:cs="Arial"/>
          <w:sz w:val="18"/>
          <w:szCs w:val="18"/>
        </w:rPr>
        <w:t xml:space="preserve"> oraz monografii, książek i rozpraw naukowych z wykazu wydawnictw ww. ministra,</w:t>
      </w:r>
    </w:p>
    <w:p w:rsidR="0045606D" w:rsidRPr="007143A3" w:rsidRDefault="0045606D" w:rsidP="0045606D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dofinansowywanie kosztów czynnego udziału w konferencjach,</w:t>
      </w:r>
    </w:p>
    <w:p w:rsidR="0045606D" w:rsidRPr="007143A3" w:rsidRDefault="0045606D" w:rsidP="0045606D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709" w:hanging="425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inne formy zatwierdzone przez Rektora.</w:t>
      </w:r>
    </w:p>
    <w:p w:rsidR="0045606D" w:rsidRPr="007143A3" w:rsidRDefault="0045606D" w:rsidP="0045606D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Formy wsparcia, o których mowa w ust. 1 mogą być przyznane nauczycielom akademickim z grupy pracowników badawczo-dydaktycznych koncentrującym swoją aktywność naukową w dyscyplinie naukowej uznanej za priorytetową dla strategii rozwoju Uczelni. Warunkiem koniecznym ubiegania się o wsparcie jest złożenie oś</w:t>
      </w:r>
      <w:r w:rsidR="00F53247">
        <w:rPr>
          <w:rFonts w:ascii="Arial" w:hAnsi="Arial" w:cs="Arial"/>
          <w:sz w:val="18"/>
          <w:szCs w:val="18"/>
        </w:rPr>
        <w:t>wiadczeń wg wzoru stanowiącego z</w:t>
      </w:r>
      <w:r w:rsidRPr="007143A3">
        <w:rPr>
          <w:rFonts w:ascii="Arial" w:hAnsi="Arial" w:cs="Arial"/>
          <w:sz w:val="18"/>
          <w:szCs w:val="18"/>
        </w:rPr>
        <w:t>ałącznik</w:t>
      </w:r>
      <w:r w:rsidR="002D4DE1" w:rsidRPr="007143A3">
        <w:rPr>
          <w:rFonts w:ascii="Arial" w:hAnsi="Arial" w:cs="Arial"/>
          <w:sz w:val="18"/>
          <w:szCs w:val="18"/>
        </w:rPr>
        <w:t>i</w:t>
      </w:r>
      <w:r w:rsidRPr="007143A3">
        <w:rPr>
          <w:rFonts w:ascii="Arial" w:hAnsi="Arial" w:cs="Arial"/>
          <w:sz w:val="18"/>
          <w:szCs w:val="18"/>
        </w:rPr>
        <w:t xml:space="preserve"> nr 3</w:t>
      </w:r>
      <w:r w:rsidR="002D4DE1" w:rsidRPr="007143A3">
        <w:rPr>
          <w:rFonts w:ascii="Arial" w:hAnsi="Arial" w:cs="Arial"/>
          <w:sz w:val="18"/>
          <w:szCs w:val="18"/>
        </w:rPr>
        <w:t>a-3c</w:t>
      </w:r>
      <w:r w:rsidRPr="007143A3">
        <w:rPr>
          <w:rFonts w:ascii="Arial" w:hAnsi="Arial" w:cs="Arial"/>
          <w:sz w:val="18"/>
          <w:szCs w:val="18"/>
        </w:rPr>
        <w:t xml:space="preserve"> do Regulaminu</w:t>
      </w:r>
      <w:r w:rsidR="00267B79" w:rsidRPr="007143A3">
        <w:rPr>
          <w:rFonts w:ascii="Arial" w:hAnsi="Arial" w:cs="Arial"/>
          <w:sz w:val="18"/>
          <w:szCs w:val="18"/>
        </w:rPr>
        <w:t xml:space="preserve"> DN</w:t>
      </w:r>
      <w:r w:rsidRPr="007143A3">
        <w:rPr>
          <w:rFonts w:ascii="Arial" w:hAnsi="Arial" w:cs="Arial"/>
          <w:sz w:val="18"/>
          <w:szCs w:val="18"/>
        </w:rPr>
        <w:t>.</w:t>
      </w:r>
      <w:bookmarkStart w:id="0" w:name="page3"/>
      <w:bookmarkEnd w:id="0"/>
    </w:p>
    <w:p w:rsidR="0045606D" w:rsidRPr="00A675C3" w:rsidRDefault="0045606D" w:rsidP="0045606D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675C3">
        <w:rPr>
          <w:rFonts w:ascii="Arial" w:hAnsi="Arial" w:cs="Arial"/>
          <w:sz w:val="18"/>
          <w:szCs w:val="18"/>
        </w:rPr>
        <w:t>Oświadczenia, o których mowa w ust. 2</w:t>
      </w:r>
      <w:r w:rsidR="000315BD">
        <w:rPr>
          <w:rFonts w:ascii="Arial" w:hAnsi="Arial" w:cs="Arial"/>
          <w:sz w:val="18"/>
          <w:szCs w:val="18"/>
        </w:rPr>
        <w:t xml:space="preserve"> w zdaniu drugim,</w:t>
      </w:r>
      <w:r w:rsidRPr="00A675C3">
        <w:rPr>
          <w:rFonts w:ascii="Arial" w:hAnsi="Arial" w:cs="Arial"/>
          <w:sz w:val="18"/>
          <w:szCs w:val="18"/>
        </w:rPr>
        <w:t xml:space="preserve"> winny być składane do 10 października każdego roku akademickiego.</w:t>
      </w:r>
    </w:p>
    <w:p w:rsidR="0045606D" w:rsidRPr="00A675C3" w:rsidRDefault="0045606D" w:rsidP="0045606D">
      <w:pPr>
        <w:tabs>
          <w:tab w:val="left" w:pos="361"/>
        </w:tabs>
        <w:spacing w:line="360" w:lineRule="auto"/>
        <w:ind w:right="20"/>
        <w:jc w:val="both"/>
        <w:rPr>
          <w:rFonts w:ascii="Arial" w:hAnsi="Arial" w:cs="Arial"/>
          <w:sz w:val="18"/>
          <w:szCs w:val="18"/>
        </w:rPr>
      </w:pPr>
    </w:p>
    <w:p w:rsidR="0045606D" w:rsidRPr="00A675C3" w:rsidRDefault="0045606D" w:rsidP="0045606D">
      <w:pPr>
        <w:spacing w:line="360" w:lineRule="auto"/>
        <w:ind w:right="8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Pr="00A675C3">
        <w:rPr>
          <w:rFonts w:ascii="Arial" w:hAnsi="Arial" w:cs="Arial"/>
          <w:b/>
          <w:bCs/>
          <w:sz w:val="18"/>
          <w:szCs w:val="18"/>
        </w:rPr>
        <w:t>KRYTERIA ZALICZENIA DO GRUPY PRACOWNIKÓW BADAWCZO</w:t>
      </w:r>
      <w:r>
        <w:rPr>
          <w:rFonts w:ascii="Arial" w:hAnsi="Arial" w:cs="Arial"/>
          <w:b/>
          <w:bCs/>
          <w:sz w:val="18"/>
          <w:szCs w:val="18"/>
        </w:rPr>
        <w:t xml:space="preserve">- </w:t>
      </w:r>
      <w:r w:rsidRPr="00A675C3">
        <w:rPr>
          <w:rFonts w:ascii="Arial" w:hAnsi="Arial" w:cs="Arial"/>
          <w:b/>
          <w:bCs/>
          <w:sz w:val="18"/>
          <w:szCs w:val="18"/>
        </w:rPr>
        <w:t>DYDAKTYCZNYCH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675C3">
        <w:rPr>
          <w:rFonts w:ascii="Arial" w:hAnsi="Arial" w:cs="Arial"/>
          <w:b/>
          <w:bCs/>
          <w:sz w:val="18"/>
          <w:szCs w:val="18"/>
        </w:rPr>
        <w:t>SPRAWOZDAWCZOŚĆ</w:t>
      </w:r>
    </w:p>
    <w:p w:rsidR="0045606D" w:rsidRPr="00A675C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A675C3" w:rsidRDefault="0045606D" w:rsidP="0045606D">
      <w:pPr>
        <w:numPr>
          <w:ilvl w:val="2"/>
          <w:numId w:val="2"/>
        </w:numPr>
        <w:tabs>
          <w:tab w:val="left" w:pos="4501"/>
        </w:tabs>
        <w:spacing w:line="360" w:lineRule="auto"/>
        <w:ind w:left="4501" w:hanging="175"/>
        <w:rPr>
          <w:rFonts w:ascii="Arial" w:hAnsi="Arial" w:cs="Arial"/>
          <w:bCs/>
          <w:sz w:val="18"/>
          <w:szCs w:val="18"/>
        </w:rPr>
      </w:pPr>
      <w:r w:rsidRPr="00A675C3">
        <w:rPr>
          <w:rFonts w:ascii="Arial" w:hAnsi="Arial" w:cs="Arial"/>
          <w:bCs/>
          <w:sz w:val="18"/>
          <w:szCs w:val="18"/>
        </w:rPr>
        <w:t>3</w:t>
      </w:r>
    </w:p>
    <w:p w:rsidR="0045606D" w:rsidRPr="00A675C3" w:rsidRDefault="0045606D" w:rsidP="0045606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675C3">
        <w:rPr>
          <w:rFonts w:ascii="Arial" w:hAnsi="Arial" w:cs="Arial"/>
          <w:sz w:val="18"/>
          <w:szCs w:val="18"/>
        </w:rPr>
        <w:t>Zaliczenie nauczyciela akademickiego do grupy pracowników badawczo-dydaktycznych może nastąpić przy spełnieniu podstawowych kryteriów dla odpowiednich stanowisk, o których mowa w Statucie Uczelni oraz następujących kryteriów dodatkowych:</w:t>
      </w:r>
    </w:p>
    <w:p w:rsidR="0045606D" w:rsidRPr="00A675C3" w:rsidRDefault="0045606D" w:rsidP="0045606D">
      <w:pPr>
        <w:pStyle w:val="Akapitzlist"/>
        <w:numPr>
          <w:ilvl w:val="0"/>
          <w:numId w:val="9"/>
        </w:numPr>
        <w:tabs>
          <w:tab w:val="left" w:pos="641"/>
        </w:tabs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675C3">
        <w:rPr>
          <w:rFonts w:ascii="Arial" w:hAnsi="Arial" w:cs="Arial"/>
          <w:sz w:val="18"/>
          <w:szCs w:val="18"/>
        </w:rPr>
        <w:t>uzyskanie w roku kalendarzowym poprzedzającym zatrudnienie lub zmianę stanowiska minimum 70 punktów za jedną publikację w czasopiśmie z wykazu ministra właściwego do spr</w:t>
      </w:r>
      <w:r w:rsidR="00F53247">
        <w:rPr>
          <w:rFonts w:ascii="Arial" w:hAnsi="Arial" w:cs="Arial"/>
          <w:sz w:val="18"/>
          <w:szCs w:val="18"/>
        </w:rPr>
        <w:t>aw szkolnictwa wyższego,</w:t>
      </w:r>
    </w:p>
    <w:p w:rsidR="0045606D" w:rsidRPr="007143A3" w:rsidRDefault="0045606D" w:rsidP="0045606D">
      <w:pPr>
        <w:pStyle w:val="Akapitzlist"/>
        <w:numPr>
          <w:ilvl w:val="0"/>
          <w:numId w:val="9"/>
        </w:numPr>
        <w:tabs>
          <w:tab w:val="left" w:pos="641"/>
        </w:tabs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  <w:r w:rsidRPr="007143A3">
        <w:rPr>
          <w:rFonts w:ascii="Arial" w:hAnsi="Arial" w:cs="Arial"/>
          <w:sz w:val="18"/>
          <w:szCs w:val="18"/>
        </w:rPr>
        <w:t>złożenie planu rozwoju pr</w:t>
      </w:r>
      <w:r w:rsidR="00F53247">
        <w:rPr>
          <w:rFonts w:ascii="Arial" w:hAnsi="Arial" w:cs="Arial"/>
          <w:sz w:val="18"/>
          <w:szCs w:val="18"/>
        </w:rPr>
        <w:t>acownika wg wzoru stanowiącego z</w:t>
      </w:r>
      <w:r w:rsidRPr="007143A3">
        <w:rPr>
          <w:rFonts w:ascii="Arial" w:hAnsi="Arial" w:cs="Arial"/>
          <w:sz w:val="18"/>
          <w:szCs w:val="18"/>
        </w:rPr>
        <w:t>ałącznik nr 1 do niniejszego Regulaminu</w:t>
      </w:r>
      <w:r w:rsidR="00267B79" w:rsidRPr="007143A3">
        <w:rPr>
          <w:rFonts w:ascii="Arial" w:hAnsi="Arial" w:cs="Arial"/>
          <w:sz w:val="18"/>
          <w:szCs w:val="18"/>
        </w:rPr>
        <w:t xml:space="preserve"> DN</w:t>
      </w:r>
      <w:r w:rsidRPr="007143A3">
        <w:rPr>
          <w:rFonts w:ascii="Arial" w:hAnsi="Arial" w:cs="Arial"/>
          <w:sz w:val="18"/>
          <w:szCs w:val="18"/>
        </w:rPr>
        <w:t>, który to plan został następnie zaakceptowany przez dziekana właściwego wydziału.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Rektor może zatrudnić lub zmienić stanowisko pracownika na stanowisko badawczo-dydaktyczne </w:t>
      </w:r>
      <w:r w:rsidRPr="007143A3">
        <w:rPr>
          <w:rFonts w:ascii="Arial" w:hAnsi="Arial" w:cs="Arial"/>
          <w:sz w:val="18"/>
          <w:szCs w:val="18"/>
        </w:rPr>
        <w:br/>
        <w:t>z pominięciem kryteriów, o których mowa w ust. 1 lit. a).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Zaliczenie nauczycieli akademickich do grupy pracowników badawczo-dydaktycznych następuje po złożeniu stosownych oświadczeń wymienionych w ustawie, przy czym pracownik obowiązany jest do składania właściwemu dziekanowi corocznego spra</w:t>
      </w:r>
      <w:r w:rsidR="00F53247">
        <w:rPr>
          <w:rFonts w:ascii="Arial" w:hAnsi="Arial" w:cs="Arial"/>
          <w:sz w:val="18"/>
          <w:szCs w:val="18"/>
        </w:rPr>
        <w:t>wozdania wg wzoru stanowiącego z</w:t>
      </w:r>
      <w:r w:rsidRPr="007143A3">
        <w:rPr>
          <w:rFonts w:ascii="Arial" w:hAnsi="Arial" w:cs="Arial"/>
          <w:sz w:val="18"/>
          <w:szCs w:val="18"/>
        </w:rPr>
        <w:t>ałącznik nr 2 do Regulaminu</w:t>
      </w:r>
      <w:r w:rsidR="00267B79" w:rsidRPr="007143A3">
        <w:rPr>
          <w:rFonts w:ascii="Arial" w:hAnsi="Arial" w:cs="Arial"/>
          <w:sz w:val="18"/>
          <w:szCs w:val="18"/>
        </w:rPr>
        <w:t xml:space="preserve"> DN</w:t>
      </w:r>
      <w:r w:rsidRPr="007143A3">
        <w:rPr>
          <w:rFonts w:ascii="Arial" w:hAnsi="Arial" w:cs="Arial"/>
          <w:sz w:val="18"/>
          <w:szCs w:val="18"/>
        </w:rPr>
        <w:t xml:space="preserve"> obejmującego swym zakresem poprzedni rok kalendarzowy. Sprawozdanie, o którym mowa w zdaniu poprzedzającym</w:t>
      </w:r>
      <w:r w:rsidR="00DE6EBF">
        <w:rPr>
          <w:rFonts w:ascii="Arial" w:hAnsi="Arial" w:cs="Arial"/>
          <w:sz w:val="18"/>
          <w:szCs w:val="18"/>
        </w:rPr>
        <w:t>,</w:t>
      </w:r>
      <w:bookmarkStart w:id="1" w:name="_GoBack"/>
      <w:bookmarkEnd w:id="1"/>
      <w:r w:rsidRPr="007143A3">
        <w:rPr>
          <w:rFonts w:ascii="Arial" w:hAnsi="Arial" w:cs="Arial"/>
          <w:sz w:val="18"/>
          <w:szCs w:val="18"/>
        </w:rPr>
        <w:t xml:space="preserve"> składa się w terminie do końca lutego roku następującego po roku sprawozdawczym.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Pracownik zaliczony do grupy pracowników badawczo-dydaktycznych obowiązany jest</w:t>
      </w:r>
      <w:r w:rsidR="00FF193B">
        <w:rPr>
          <w:rFonts w:ascii="Arial" w:hAnsi="Arial" w:cs="Arial"/>
          <w:sz w:val="18"/>
          <w:szCs w:val="18"/>
        </w:rPr>
        <w:t>,</w:t>
      </w:r>
      <w:r w:rsidRPr="007143A3">
        <w:rPr>
          <w:rFonts w:ascii="Arial" w:hAnsi="Arial" w:cs="Arial"/>
          <w:sz w:val="18"/>
          <w:szCs w:val="18"/>
        </w:rPr>
        <w:t xml:space="preserve"> w każdym pełnym roku kalendarzowym pozo</w:t>
      </w:r>
      <w:r w:rsidR="001A55CF" w:rsidRPr="007143A3">
        <w:rPr>
          <w:rFonts w:ascii="Arial" w:hAnsi="Arial" w:cs="Arial"/>
          <w:sz w:val="18"/>
          <w:szCs w:val="18"/>
        </w:rPr>
        <w:t>stawania na stanowisku badawczo-</w:t>
      </w:r>
      <w:r w:rsidRPr="007143A3">
        <w:rPr>
          <w:rFonts w:ascii="Arial" w:hAnsi="Arial" w:cs="Arial"/>
          <w:sz w:val="18"/>
          <w:szCs w:val="18"/>
        </w:rPr>
        <w:t>dydaktycznym</w:t>
      </w:r>
      <w:r w:rsidR="00FF193B">
        <w:rPr>
          <w:rFonts w:ascii="Arial" w:hAnsi="Arial" w:cs="Arial"/>
          <w:sz w:val="18"/>
          <w:szCs w:val="18"/>
        </w:rPr>
        <w:t>,</w:t>
      </w:r>
      <w:r w:rsidRPr="007143A3">
        <w:rPr>
          <w:rFonts w:ascii="Arial" w:hAnsi="Arial" w:cs="Arial"/>
          <w:sz w:val="18"/>
          <w:szCs w:val="18"/>
        </w:rPr>
        <w:t xml:space="preserve"> do:</w:t>
      </w:r>
    </w:p>
    <w:p w:rsidR="0045606D" w:rsidRPr="007143A3" w:rsidRDefault="0045606D" w:rsidP="0045606D">
      <w:pPr>
        <w:pStyle w:val="Akapitzlist"/>
        <w:numPr>
          <w:ilvl w:val="0"/>
          <w:numId w:val="7"/>
        </w:numPr>
        <w:tabs>
          <w:tab w:val="left" w:pos="641"/>
          <w:tab w:val="left" w:pos="993"/>
        </w:tabs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 uzyskania minimum 70 punktów za jedną publikację w czasopiśmie z wykazu ministra właściwego do spraw szkolnictwa wyższego,</w:t>
      </w:r>
    </w:p>
    <w:p w:rsidR="0045606D" w:rsidRPr="007143A3" w:rsidRDefault="0045606D" w:rsidP="0045606D">
      <w:pPr>
        <w:pStyle w:val="Akapitzlist"/>
        <w:numPr>
          <w:ilvl w:val="0"/>
          <w:numId w:val="7"/>
        </w:numPr>
        <w:tabs>
          <w:tab w:val="left" w:pos="361"/>
          <w:tab w:val="left" w:pos="709"/>
        </w:tabs>
        <w:spacing w:line="360" w:lineRule="auto"/>
        <w:ind w:left="284" w:firstLine="0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udziału w co najmniej jednej konferencji naukowej.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361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Poza obowiązkami, o których mowa w ust. 4 pracownik w okresie dwóch następujących po sobie lat </w:t>
      </w:r>
      <w:r w:rsidRPr="007143A3">
        <w:rPr>
          <w:rFonts w:ascii="Arial" w:hAnsi="Arial" w:cs="Arial"/>
          <w:sz w:val="18"/>
          <w:szCs w:val="18"/>
        </w:rPr>
        <w:br/>
        <w:t xml:space="preserve"> kalendarzowych obowiązany jest do złożenia minimum jednego wniosku o grant ze środków zewnętrznych.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Wnioski o przedłużenie na kolejny okres zatrudnienia w grupie stanowisk badawczo-dydaktycznych oraz </w:t>
      </w:r>
      <w:r w:rsidRPr="007143A3">
        <w:rPr>
          <w:rFonts w:ascii="Arial" w:hAnsi="Arial" w:cs="Arial"/>
          <w:sz w:val="18"/>
          <w:szCs w:val="18"/>
        </w:rPr>
        <w:br/>
        <w:t>o zmianę stanowiska opiniuje właściwy dziekan. Dziekan również w terminie do końca marca każdego roku dokonuje oceny złożonych sprawozdań, o których mowa w ust. 3. Dziekan obowiązany jest w terminie dwóch tygodni od dokonania oceny do przedłożenia Rektorowi stosownych wniosków co do dalszego zatrudnienia pracowników na stanowisku badawczo-dydaktycznym.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Niespełnienie przez pracownika badawczo-dydaktycznego któregokolwiek z obowiązków, o których mowa </w:t>
      </w:r>
      <w:r w:rsidRPr="007143A3">
        <w:rPr>
          <w:rFonts w:ascii="Arial" w:hAnsi="Arial" w:cs="Arial"/>
          <w:sz w:val="18"/>
          <w:szCs w:val="18"/>
        </w:rPr>
        <w:br/>
        <w:t>w Regulaminie</w:t>
      </w:r>
      <w:r w:rsidR="00267B79" w:rsidRPr="007143A3">
        <w:rPr>
          <w:rFonts w:ascii="Arial" w:hAnsi="Arial" w:cs="Arial"/>
          <w:sz w:val="18"/>
          <w:szCs w:val="18"/>
        </w:rPr>
        <w:t xml:space="preserve"> DN</w:t>
      </w:r>
      <w:r w:rsidRPr="007143A3">
        <w:rPr>
          <w:rFonts w:ascii="Arial" w:hAnsi="Arial" w:cs="Arial"/>
          <w:sz w:val="18"/>
          <w:szCs w:val="18"/>
        </w:rPr>
        <w:t xml:space="preserve"> stanowić może podstawę zmiany warunków pracy lub rozwiązania stosunku pracy.</w:t>
      </w:r>
    </w:p>
    <w:p w:rsidR="0045606D" w:rsidRPr="007143A3" w:rsidRDefault="0045606D" w:rsidP="0045606D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Roczny wymiar</w:t>
      </w:r>
      <w:r w:rsidR="00EE47F6">
        <w:rPr>
          <w:rFonts w:ascii="Arial" w:hAnsi="Arial" w:cs="Arial"/>
          <w:sz w:val="18"/>
          <w:szCs w:val="18"/>
        </w:rPr>
        <w:t xml:space="preserve"> </w:t>
      </w:r>
      <w:r w:rsidRPr="007143A3">
        <w:rPr>
          <w:rFonts w:ascii="Arial" w:hAnsi="Arial" w:cs="Arial"/>
          <w:sz w:val="18"/>
          <w:szCs w:val="18"/>
        </w:rPr>
        <w:t xml:space="preserve"> </w:t>
      </w:r>
      <w:r w:rsidR="00EE47F6">
        <w:rPr>
          <w:rFonts w:ascii="Arial" w:hAnsi="Arial" w:cs="Arial"/>
          <w:sz w:val="18"/>
          <w:szCs w:val="18"/>
        </w:rPr>
        <w:t xml:space="preserve">zajęć </w:t>
      </w:r>
      <w:r w:rsidRPr="007143A3">
        <w:rPr>
          <w:rFonts w:ascii="Arial" w:hAnsi="Arial" w:cs="Arial"/>
          <w:sz w:val="18"/>
          <w:szCs w:val="18"/>
        </w:rPr>
        <w:t>dydaktycznych pracowników zatrudnionych na stanowiskach badawczo-dydaktycznych wynosi:</w:t>
      </w:r>
    </w:p>
    <w:p w:rsidR="0045606D" w:rsidRPr="007143A3" w:rsidRDefault="0045606D" w:rsidP="0045606D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firstLine="0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na stanowisku profesora - 180 godzin,</w:t>
      </w:r>
    </w:p>
    <w:p w:rsidR="0045606D" w:rsidRPr="007143A3" w:rsidRDefault="0045606D" w:rsidP="0045606D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firstLine="0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na stanowisku profesora uczelni - 200 godzin,</w:t>
      </w:r>
    </w:p>
    <w:p w:rsidR="0045606D" w:rsidRPr="007143A3" w:rsidRDefault="0045606D" w:rsidP="0045606D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firstLine="0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na stanowisku profesora uczelni ze stopniem doktora – 220 godzin,</w:t>
      </w:r>
    </w:p>
    <w:p w:rsidR="0045606D" w:rsidRPr="007143A3" w:rsidRDefault="0045606D" w:rsidP="0045606D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firstLine="0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na stanowisku adiunkta - 240 godzin.</w:t>
      </w:r>
    </w:p>
    <w:p w:rsidR="001A55CF" w:rsidRPr="007143A3" w:rsidRDefault="0045606D" w:rsidP="001A55CF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W roku akademickim 2021/2022 do zatrudniania lub zmiany stanowiska na stanowisko badawczo-dydaktyczne nie stosuje się postanowień ust. 1 lit a). Osoby, o których mowa w zdaniu pierwszym  obowiązane są  do złożenia właściwemu dziekano</w:t>
      </w:r>
      <w:r w:rsidR="00FF193B">
        <w:rPr>
          <w:rFonts w:ascii="Arial" w:hAnsi="Arial" w:cs="Arial"/>
          <w:sz w:val="18"/>
          <w:szCs w:val="18"/>
        </w:rPr>
        <w:t>wi planu rozwoju pracownika, wg z</w:t>
      </w:r>
      <w:r w:rsidRPr="007143A3">
        <w:rPr>
          <w:rFonts w:ascii="Arial" w:hAnsi="Arial" w:cs="Arial"/>
          <w:sz w:val="18"/>
          <w:szCs w:val="18"/>
        </w:rPr>
        <w:t>ałącznika nr 1 do Regulaminu</w:t>
      </w:r>
      <w:r w:rsidR="00267B79" w:rsidRPr="007143A3">
        <w:rPr>
          <w:rFonts w:ascii="Arial" w:hAnsi="Arial" w:cs="Arial"/>
          <w:sz w:val="18"/>
          <w:szCs w:val="18"/>
        </w:rPr>
        <w:t xml:space="preserve"> DN</w:t>
      </w:r>
      <w:r w:rsidRPr="007143A3">
        <w:rPr>
          <w:rFonts w:ascii="Arial" w:hAnsi="Arial" w:cs="Arial"/>
          <w:sz w:val="18"/>
          <w:szCs w:val="18"/>
        </w:rPr>
        <w:t xml:space="preserve"> do dnia 27 sierpnia  2021 r.  Decyzję o zatrudnieniu pracownika na stanowisku badawczo-dydaktycznym w roku akademickim 2021/2022 podejmuje Rektor po analizie wniosku właściwego dziekana oraz planu rozwoju danego pracownika. </w:t>
      </w:r>
    </w:p>
    <w:p w:rsidR="0045606D" w:rsidRPr="007143A3" w:rsidRDefault="0045606D" w:rsidP="001A55CF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W roku kalendarzowym 2022</w:t>
      </w:r>
      <w:r w:rsidR="0029198D" w:rsidRPr="007143A3">
        <w:rPr>
          <w:rFonts w:ascii="Arial" w:hAnsi="Arial" w:cs="Arial"/>
          <w:sz w:val="18"/>
          <w:szCs w:val="18"/>
        </w:rPr>
        <w:t>,</w:t>
      </w:r>
      <w:r w:rsidR="00FF193B">
        <w:rPr>
          <w:rFonts w:ascii="Arial" w:hAnsi="Arial" w:cs="Arial"/>
          <w:sz w:val="18"/>
          <w:szCs w:val="18"/>
        </w:rPr>
        <w:t xml:space="preserve"> określony  w</w:t>
      </w:r>
      <w:r w:rsidRPr="007143A3">
        <w:rPr>
          <w:rFonts w:ascii="Arial" w:hAnsi="Arial" w:cs="Arial"/>
          <w:sz w:val="18"/>
          <w:szCs w:val="18"/>
        </w:rPr>
        <w:t xml:space="preserve"> ust. 4 lit. a</w:t>
      </w:r>
      <w:r w:rsidR="001A55CF" w:rsidRPr="007143A3">
        <w:rPr>
          <w:rFonts w:ascii="Arial" w:hAnsi="Arial" w:cs="Arial"/>
          <w:sz w:val="18"/>
          <w:szCs w:val="18"/>
        </w:rPr>
        <w:t xml:space="preserve">)  limit punktów obniża się do </w:t>
      </w:r>
      <w:r w:rsidR="00FF193B">
        <w:rPr>
          <w:rFonts w:ascii="Arial" w:hAnsi="Arial" w:cs="Arial"/>
          <w:sz w:val="18"/>
          <w:szCs w:val="18"/>
        </w:rPr>
        <w:t>minimum 40 punktów</w:t>
      </w:r>
      <w:r w:rsidRPr="007143A3">
        <w:rPr>
          <w:rFonts w:ascii="Arial" w:hAnsi="Arial" w:cs="Arial"/>
          <w:sz w:val="18"/>
          <w:szCs w:val="18"/>
        </w:rPr>
        <w:t xml:space="preserve">   za jedną publikację w czasopiśmie z wykazu ministra właściwego do spraw szkolnictwa wyższego. </w:t>
      </w:r>
    </w:p>
    <w:p w:rsidR="0045606D" w:rsidRPr="007143A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7143A3" w:rsidRDefault="0045606D" w:rsidP="0045606D">
      <w:pPr>
        <w:spacing w:line="360" w:lineRule="auto"/>
        <w:ind w:right="19"/>
        <w:jc w:val="center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b/>
          <w:bCs/>
          <w:sz w:val="18"/>
          <w:szCs w:val="18"/>
        </w:rPr>
        <w:t>KONFERENCJE NAUKOWE</w:t>
      </w:r>
    </w:p>
    <w:p w:rsidR="0045606D" w:rsidRPr="007143A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7143A3" w:rsidRDefault="0045606D" w:rsidP="0045606D">
      <w:pPr>
        <w:numPr>
          <w:ilvl w:val="1"/>
          <w:numId w:val="3"/>
        </w:numPr>
        <w:tabs>
          <w:tab w:val="left" w:pos="4501"/>
        </w:tabs>
        <w:spacing w:line="360" w:lineRule="auto"/>
        <w:ind w:left="4501" w:hanging="175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bCs/>
          <w:sz w:val="18"/>
          <w:szCs w:val="18"/>
        </w:rPr>
        <w:t>4</w:t>
      </w:r>
    </w:p>
    <w:p w:rsidR="0045606D" w:rsidRPr="007143A3" w:rsidRDefault="0045606D" w:rsidP="0045606D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Pracownicy zatrudnieni na stanowisku badawczo-dydaktycznym mogą ubiegać się o dofinansowanie kosztów udziału w krajowych i międzynarodowych konferencjach naukowych w postaci dofinansowania kosztów opłaty konferencyjnej i publikacji pokonferencyjnej, a także kosztów podróży i zakwaterowania. Wsparcie to dotyczy wyłącznie konferencji, w których pracownik uczestniczy czynnie, tj. ma wystąpienie konferencyjne.</w:t>
      </w:r>
    </w:p>
    <w:p w:rsidR="0045606D" w:rsidRPr="007143A3" w:rsidRDefault="0045606D" w:rsidP="0045606D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Wniosek o dofinansowanie udziału w konferencji naukowej powinien być złożony do Prorektora ds. Nauki </w:t>
      </w:r>
      <w:r w:rsidRPr="007143A3">
        <w:rPr>
          <w:rFonts w:ascii="Arial" w:hAnsi="Arial" w:cs="Arial"/>
          <w:sz w:val="18"/>
          <w:szCs w:val="18"/>
        </w:rPr>
        <w:br/>
        <w:t>i Współpracy z Zagranicą za pośrednictwem właściwego dziekana w terminie co najmniej 30 dni przed planowanym terminem konferencji. Do wniosku pracownik obowiązany jest dołączyć potwierdzenie przyjęcia zgłoszenia konferencyjnego obejmującego wystąpienie konferencyjne.</w:t>
      </w:r>
      <w:bookmarkStart w:id="2" w:name="page17"/>
      <w:bookmarkEnd w:id="2"/>
    </w:p>
    <w:p w:rsidR="0045606D" w:rsidRPr="007143A3" w:rsidRDefault="0045606D" w:rsidP="0045606D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W przypadku niewzięcia udziału w konferencji z własnej w</w:t>
      </w:r>
      <w:r w:rsidR="00F94D76" w:rsidRPr="007143A3">
        <w:rPr>
          <w:rFonts w:ascii="Arial" w:hAnsi="Arial" w:cs="Arial"/>
          <w:sz w:val="18"/>
          <w:szCs w:val="18"/>
        </w:rPr>
        <w:t>iny, mimo dofinansowania przez U</w:t>
      </w:r>
      <w:r w:rsidRPr="007143A3">
        <w:rPr>
          <w:rFonts w:ascii="Arial" w:hAnsi="Arial" w:cs="Arial"/>
          <w:sz w:val="18"/>
          <w:szCs w:val="18"/>
        </w:rPr>
        <w:t>czelnię kosztów, nauczyciel akademicki zobowiązany jest do dokonania zwrotu poniesionych p</w:t>
      </w:r>
      <w:r w:rsidR="00F94D76" w:rsidRPr="007143A3">
        <w:rPr>
          <w:rFonts w:ascii="Arial" w:hAnsi="Arial" w:cs="Arial"/>
          <w:sz w:val="18"/>
          <w:szCs w:val="18"/>
        </w:rPr>
        <w:t>rzez Uczelnię środków na konto U</w:t>
      </w:r>
      <w:r w:rsidRPr="007143A3">
        <w:rPr>
          <w:rFonts w:ascii="Arial" w:hAnsi="Arial" w:cs="Arial"/>
          <w:sz w:val="18"/>
          <w:szCs w:val="18"/>
        </w:rPr>
        <w:t>czelni.</w:t>
      </w:r>
    </w:p>
    <w:p w:rsidR="0045606D" w:rsidRPr="007143A3" w:rsidRDefault="00F94D76" w:rsidP="0045606D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W przypadku pokrycia przez U</w:t>
      </w:r>
      <w:r w:rsidR="0045606D" w:rsidRPr="007143A3">
        <w:rPr>
          <w:rFonts w:ascii="Arial" w:hAnsi="Arial" w:cs="Arial"/>
          <w:sz w:val="18"/>
          <w:szCs w:val="18"/>
        </w:rPr>
        <w:t>czelnię kosztów udziału w konferencji pracownik obowiązany jest przedłożyć Prorektorowi ds. Nauki i Współpracy z Zagranicą sprawozdanie z konferencji.</w:t>
      </w:r>
    </w:p>
    <w:p w:rsidR="0045606D" w:rsidRPr="007143A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7143A3" w:rsidRDefault="0045606D" w:rsidP="0045606D">
      <w:pPr>
        <w:spacing w:line="360" w:lineRule="auto"/>
        <w:ind w:right="40"/>
        <w:jc w:val="center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b/>
          <w:bCs/>
          <w:sz w:val="18"/>
          <w:szCs w:val="18"/>
        </w:rPr>
        <w:t>PUBLIKACJE NAUKOWE I KOSZTY TŁUMACZEŃ</w:t>
      </w:r>
    </w:p>
    <w:p w:rsidR="0045606D" w:rsidRPr="007143A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45606D" w:rsidRPr="007143A3" w:rsidRDefault="0045606D" w:rsidP="0045606D">
      <w:pPr>
        <w:numPr>
          <w:ilvl w:val="1"/>
          <w:numId w:val="4"/>
        </w:numPr>
        <w:tabs>
          <w:tab w:val="left" w:pos="4480"/>
        </w:tabs>
        <w:spacing w:line="360" w:lineRule="auto"/>
        <w:ind w:left="4480" w:hanging="175"/>
        <w:rPr>
          <w:rFonts w:ascii="Arial" w:hAnsi="Arial" w:cs="Arial"/>
          <w:bCs/>
          <w:sz w:val="18"/>
          <w:szCs w:val="18"/>
        </w:rPr>
      </w:pPr>
      <w:r w:rsidRPr="007143A3">
        <w:rPr>
          <w:rFonts w:ascii="Arial" w:hAnsi="Arial" w:cs="Arial"/>
          <w:bCs/>
          <w:sz w:val="18"/>
          <w:szCs w:val="18"/>
        </w:rPr>
        <w:t>5</w:t>
      </w:r>
    </w:p>
    <w:p w:rsidR="0045606D" w:rsidRPr="007143A3" w:rsidRDefault="0045606D" w:rsidP="0045606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Pracownicy zatrudnieni na stanowisku badawczo-dydaktycznym mogą ubiegać się o dofinansowanie kosztów publikacji naukowych w czasopismach zewnętrznych znajdujących się na aktualnym wykazie ministra właściwego ds. szkolnictwa wyższego, posiadających minimum 40 punktów</w:t>
      </w:r>
      <w:r w:rsidR="00FF193B">
        <w:rPr>
          <w:rFonts w:ascii="Arial" w:hAnsi="Arial" w:cs="Arial"/>
          <w:sz w:val="18"/>
          <w:szCs w:val="18"/>
        </w:rPr>
        <w:t>,</w:t>
      </w:r>
      <w:r w:rsidRPr="007143A3">
        <w:rPr>
          <w:rFonts w:ascii="Arial" w:hAnsi="Arial" w:cs="Arial"/>
          <w:sz w:val="18"/>
          <w:szCs w:val="18"/>
        </w:rPr>
        <w:t xml:space="preserve"> obejmujących opłatę za publikację, koszty tłumaczenia lub korekty językowej. W przypadku artykułów w</w:t>
      </w:r>
      <w:r w:rsidR="00FF193B">
        <w:rPr>
          <w:rFonts w:ascii="Arial" w:hAnsi="Arial" w:cs="Arial"/>
          <w:sz w:val="18"/>
          <w:szCs w:val="18"/>
        </w:rPr>
        <w:t>spółautorskich z osobami spoza U</w:t>
      </w:r>
      <w:r w:rsidRPr="007143A3">
        <w:rPr>
          <w:rFonts w:ascii="Arial" w:hAnsi="Arial" w:cs="Arial"/>
          <w:sz w:val="18"/>
          <w:szCs w:val="18"/>
        </w:rPr>
        <w:t>czelni koszty powinny być ponoszone proporcjonalnie do udziału w przygotowaniu publikacji.</w:t>
      </w:r>
    </w:p>
    <w:p w:rsidR="0045606D" w:rsidRPr="007143A3" w:rsidRDefault="0045606D" w:rsidP="0045606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 xml:space="preserve">Dofinansowanie kosztów publikacji </w:t>
      </w:r>
      <w:proofErr w:type="spellStart"/>
      <w:r w:rsidRPr="007143A3">
        <w:rPr>
          <w:rFonts w:ascii="Arial" w:hAnsi="Arial" w:cs="Arial"/>
          <w:sz w:val="18"/>
          <w:szCs w:val="18"/>
        </w:rPr>
        <w:t>wieloautorskich</w:t>
      </w:r>
      <w:proofErr w:type="spellEnd"/>
      <w:r w:rsidRPr="007143A3">
        <w:rPr>
          <w:rFonts w:ascii="Arial" w:hAnsi="Arial" w:cs="Arial"/>
          <w:sz w:val="18"/>
          <w:szCs w:val="18"/>
        </w:rPr>
        <w:t xml:space="preserve"> dokonywane jest dla pierws</w:t>
      </w:r>
      <w:r w:rsidR="00F94D76" w:rsidRPr="007143A3">
        <w:rPr>
          <w:rFonts w:ascii="Arial" w:hAnsi="Arial" w:cs="Arial"/>
          <w:sz w:val="18"/>
          <w:szCs w:val="18"/>
        </w:rPr>
        <w:t>zego z autorów zatrudnionego w U</w:t>
      </w:r>
      <w:r w:rsidRPr="007143A3">
        <w:rPr>
          <w:rFonts w:ascii="Arial" w:hAnsi="Arial" w:cs="Arial"/>
          <w:sz w:val="18"/>
          <w:szCs w:val="18"/>
        </w:rPr>
        <w:t>czelni.</w:t>
      </w:r>
    </w:p>
    <w:p w:rsidR="0045606D" w:rsidRPr="007143A3" w:rsidRDefault="0045606D" w:rsidP="0045606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43A3">
        <w:rPr>
          <w:rFonts w:ascii="Arial" w:hAnsi="Arial" w:cs="Arial"/>
          <w:sz w:val="18"/>
          <w:szCs w:val="18"/>
        </w:rPr>
        <w:t>Wnioski</w:t>
      </w:r>
      <w:r w:rsidR="000315BD">
        <w:rPr>
          <w:rFonts w:ascii="Arial" w:hAnsi="Arial" w:cs="Arial"/>
          <w:sz w:val="18"/>
          <w:szCs w:val="18"/>
        </w:rPr>
        <w:t xml:space="preserve"> o dofinansowanie kosztów</w:t>
      </w:r>
      <w:r w:rsidRPr="007143A3">
        <w:rPr>
          <w:rFonts w:ascii="Arial" w:hAnsi="Arial" w:cs="Arial"/>
          <w:sz w:val="18"/>
          <w:szCs w:val="18"/>
        </w:rPr>
        <w:t>, o których mowa w ust. 1</w:t>
      </w:r>
      <w:r w:rsidR="000315BD">
        <w:rPr>
          <w:rFonts w:ascii="Arial" w:hAnsi="Arial" w:cs="Arial"/>
          <w:sz w:val="18"/>
          <w:szCs w:val="18"/>
        </w:rPr>
        <w:t>,</w:t>
      </w:r>
      <w:r w:rsidRPr="007143A3">
        <w:rPr>
          <w:rFonts w:ascii="Arial" w:hAnsi="Arial" w:cs="Arial"/>
          <w:sz w:val="18"/>
          <w:szCs w:val="18"/>
        </w:rPr>
        <w:t xml:space="preserve"> należy składać do Prorektora ds. Nauki </w:t>
      </w:r>
      <w:r w:rsidR="000315BD">
        <w:rPr>
          <w:rFonts w:ascii="Arial" w:hAnsi="Arial" w:cs="Arial"/>
          <w:sz w:val="18"/>
          <w:szCs w:val="18"/>
        </w:rPr>
        <w:br/>
      </w:r>
      <w:r w:rsidRPr="007143A3">
        <w:rPr>
          <w:rFonts w:ascii="Arial" w:hAnsi="Arial" w:cs="Arial"/>
          <w:sz w:val="18"/>
          <w:szCs w:val="18"/>
        </w:rPr>
        <w:t xml:space="preserve">i Współpracy z Zagranicą za pośrednictwem właściwego dziekana wraz z dokumentacją uzasadniającą ich przyznanie obejmującą m.in. informację o liczbie punktów za publikację, całkowity koszt publikacji, przewidywany rok wydania publikacji, liczbę </w:t>
      </w:r>
      <w:proofErr w:type="spellStart"/>
      <w:r w:rsidRPr="007143A3">
        <w:rPr>
          <w:rFonts w:ascii="Arial" w:hAnsi="Arial" w:cs="Arial"/>
          <w:sz w:val="18"/>
          <w:szCs w:val="18"/>
        </w:rPr>
        <w:t>Impact</w:t>
      </w:r>
      <w:proofErr w:type="spellEnd"/>
      <w:r w:rsidRPr="007143A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143A3">
        <w:rPr>
          <w:rFonts w:ascii="Arial" w:hAnsi="Arial" w:cs="Arial"/>
          <w:sz w:val="18"/>
          <w:szCs w:val="18"/>
        </w:rPr>
        <w:t>Factor</w:t>
      </w:r>
      <w:proofErr w:type="spellEnd"/>
      <w:r w:rsidRPr="007143A3">
        <w:rPr>
          <w:rFonts w:ascii="Arial" w:hAnsi="Arial" w:cs="Arial"/>
          <w:sz w:val="18"/>
          <w:szCs w:val="18"/>
        </w:rPr>
        <w:t xml:space="preserve"> czasopisma, indeksowanie czasopisma w bazach międzynarodowych, procentowy udział wnioskodawcy w przygotowaniu publikacji, a także wszystkich pozostałych współautorów wraz z ich afiliacją.</w:t>
      </w:r>
      <w:bookmarkStart w:id="3" w:name="page19"/>
      <w:bookmarkEnd w:id="3"/>
    </w:p>
    <w:p w:rsidR="0045606D" w:rsidRPr="00A675C3" w:rsidRDefault="0045606D" w:rsidP="0045606D">
      <w:pPr>
        <w:spacing w:line="360" w:lineRule="auto"/>
        <w:ind w:right="19"/>
        <w:jc w:val="center"/>
        <w:rPr>
          <w:rFonts w:ascii="Arial" w:hAnsi="Arial" w:cs="Arial"/>
          <w:b/>
          <w:bCs/>
          <w:sz w:val="18"/>
          <w:szCs w:val="18"/>
        </w:rPr>
      </w:pPr>
    </w:p>
    <w:p w:rsidR="0045606D" w:rsidRPr="00A675C3" w:rsidRDefault="0045606D" w:rsidP="0045606D">
      <w:pPr>
        <w:spacing w:line="360" w:lineRule="auto"/>
        <w:rPr>
          <w:rFonts w:ascii="Arial" w:hAnsi="Arial" w:cs="Arial"/>
          <w:sz w:val="18"/>
          <w:szCs w:val="18"/>
        </w:rPr>
      </w:pPr>
    </w:p>
    <w:p w:rsidR="00362480" w:rsidRDefault="00DE6EBF"/>
    <w:sectPr w:rsidR="00362480" w:rsidSect="001A55CF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A70"/>
    <w:multiLevelType w:val="hybridMultilevel"/>
    <w:tmpl w:val="BBCE3EC0"/>
    <w:lvl w:ilvl="0" w:tplc="C9F07176">
      <w:numFmt w:val="decimal"/>
      <w:lvlText w:val="%1."/>
      <w:lvlJc w:val="left"/>
      <w:rPr>
        <w:rFonts w:cs="Times New Roman"/>
      </w:rPr>
    </w:lvl>
    <w:lvl w:ilvl="1" w:tplc="265C136C">
      <w:start w:val="1"/>
      <w:numFmt w:val="decimal"/>
      <w:lvlText w:val="%2)"/>
      <w:lvlJc w:val="left"/>
      <w:rPr>
        <w:rFonts w:cs="Times New Roman"/>
      </w:rPr>
    </w:lvl>
    <w:lvl w:ilvl="2" w:tplc="73E803F0">
      <w:start w:val="1"/>
      <w:numFmt w:val="bullet"/>
      <w:lvlText w:val="§"/>
      <w:lvlJc w:val="left"/>
    </w:lvl>
    <w:lvl w:ilvl="3" w:tplc="79F07110">
      <w:numFmt w:val="decimal"/>
      <w:lvlText w:val=""/>
      <w:lvlJc w:val="left"/>
      <w:rPr>
        <w:rFonts w:cs="Times New Roman"/>
      </w:rPr>
    </w:lvl>
    <w:lvl w:ilvl="4" w:tplc="F0544A22">
      <w:numFmt w:val="decimal"/>
      <w:lvlText w:val=""/>
      <w:lvlJc w:val="left"/>
      <w:rPr>
        <w:rFonts w:cs="Times New Roman"/>
      </w:rPr>
    </w:lvl>
    <w:lvl w:ilvl="5" w:tplc="50BEEA2C">
      <w:numFmt w:val="decimal"/>
      <w:lvlText w:val=""/>
      <w:lvlJc w:val="left"/>
      <w:rPr>
        <w:rFonts w:cs="Times New Roman"/>
      </w:rPr>
    </w:lvl>
    <w:lvl w:ilvl="6" w:tplc="4B462AB8">
      <w:numFmt w:val="decimal"/>
      <w:lvlText w:val=""/>
      <w:lvlJc w:val="left"/>
      <w:rPr>
        <w:rFonts w:cs="Times New Roman"/>
      </w:rPr>
    </w:lvl>
    <w:lvl w:ilvl="7" w:tplc="5FB6536C">
      <w:numFmt w:val="decimal"/>
      <w:lvlText w:val=""/>
      <w:lvlJc w:val="left"/>
      <w:rPr>
        <w:rFonts w:cs="Times New Roman"/>
      </w:rPr>
    </w:lvl>
    <w:lvl w:ilvl="8" w:tplc="DC74F9D8">
      <w:numFmt w:val="decimal"/>
      <w:lvlText w:val=""/>
      <w:lvlJc w:val="left"/>
      <w:rPr>
        <w:rFonts w:cs="Times New Roman"/>
      </w:rPr>
    </w:lvl>
  </w:abstractNum>
  <w:abstractNum w:abstractNumId="1">
    <w:nsid w:val="2D517796"/>
    <w:multiLevelType w:val="hybridMultilevel"/>
    <w:tmpl w:val="C04CCB4C"/>
    <w:lvl w:ilvl="0" w:tplc="DF2E7194">
      <w:numFmt w:val="decimal"/>
      <w:lvlText w:val="%1."/>
      <w:lvlJc w:val="left"/>
      <w:rPr>
        <w:rFonts w:cs="Times New Roman"/>
      </w:rPr>
    </w:lvl>
    <w:lvl w:ilvl="1" w:tplc="D2721F50">
      <w:start w:val="1"/>
      <w:numFmt w:val="decimal"/>
      <w:lvlText w:val="%2)"/>
      <w:lvlJc w:val="left"/>
      <w:rPr>
        <w:rFonts w:cs="Times New Roman"/>
      </w:rPr>
    </w:lvl>
    <w:lvl w:ilvl="2" w:tplc="B5F2BD3E">
      <w:start w:val="1"/>
      <w:numFmt w:val="bullet"/>
      <w:lvlText w:val="§"/>
      <w:lvlJc w:val="left"/>
    </w:lvl>
    <w:lvl w:ilvl="3" w:tplc="959AB360">
      <w:numFmt w:val="decimal"/>
      <w:lvlText w:val=""/>
      <w:lvlJc w:val="left"/>
      <w:rPr>
        <w:rFonts w:cs="Times New Roman"/>
      </w:rPr>
    </w:lvl>
    <w:lvl w:ilvl="4" w:tplc="13645CB2">
      <w:numFmt w:val="decimal"/>
      <w:lvlText w:val=""/>
      <w:lvlJc w:val="left"/>
      <w:rPr>
        <w:rFonts w:cs="Times New Roman"/>
      </w:rPr>
    </w:lvl>
    <w:lvl w:ilvl="5" w:tplc="AC6A0C66">
      <w:numFmt w:val="decimal"/>
      <w:lvlText w:val=""/>
      <w:lvlJc w:val="left"/>
      <w:rPr>
        <w:rFonts w:cs="Times New Roman"/>
      </w:rPr>
    </w:lvl>
    <w:lvl w:ilvl="6" w:tplc="FAC64136">
      <w:numFmt w:val="decimal"/>
      <w:lvlText w:val=""/>
      <w:lvlJc w:val="left"/>
      <w:rPr>
        <w:rFonts w:cs="Times New Roman"/>
      </w:rPr>
    </w:lvl>
    <w:lvl w:ilvl="7" w:tplc="3DDED612">
      <w:numFmt w:val="decimal"/>
      <w:lvlText w:val=""/>
      <w:lvlJc w:val="left"/>
      <w:rPr>
        <w:rFonts w:cs="Times New Roman"/>
      </w:rPr>
    </w:lvl>
    <w:lvl w:ilvl="8" w:tplc="03AC3AA6">
      <w:numFmt w:val="decimal"/>
      <w:lvlText w:val=""/>
      <w:lvlJc w:val="left"/>
      <w:rPr>
        <w:rFonts w:cs="Times New Roman"/>
      </w:rPr>
    </w:lvl>
  </w:abstractNum>
  <w:abstractNum w:abstractNumId="2">
    <w:nsid w:val="399137BC"/>
    <w:multiLevelType w:val="hybridMultilevel"/>
    <w:tmpl w:val="D1FE997A"/>
    <w:lvl w:ilvl="0" w:tplc="04150017">
      <w:start w:val="1"/>
      <w:numFmt w:val="lowerLetter"/>
      <w:lvlText w:val="%1)"/>
      <w:lvlJc w:val="left"/>
      <w:pPr>
        <w:ind w:left="1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3">
    <w:nsid w:val="3AC14C5F"/>
    <w:multiLevelType w:val="hybridMultilevel"/>
    <w:tmpl w:val="45D69508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4">
    <w:nsid w:val="40B06604"/>
    <w:multiLevelType w:val="hybridMultilevel"/>
    <w:tmpl w:val="CB006E10"/>
    <w:lvl w:ilvl="0" w:tplc="BDC841F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387614D"/>
    <w:multiLevelType w:val="hybridMultilevel"/>
    <w:tmpl w:val="135068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2BF3A51"/>
    <w:multiLevelType w:val="hybridMultilevel"/>
    <w:tmpl w:val="675CB028"/>
    <w:lvl w:ilvl="0" w:tplc="781E727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FAA54CB"/>
    <w:multiLevelType w:val="hybridMultilevel"/>
    <w:tmpl w:val="996EB610"/>
    <w:lvl w:ilvl="0" w:tplc="10226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816590"/>
    <w:multiLevelType w:val="hybridMultilevel"/>
    <w:tmpl w:val="970C0C7A"/>
    <w:lvl w:ilvl="0" w:tplc="17962D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9ABB43"/>
    <w:multiLevelType w:val="hybridMultilevel"/>
    <w:tmpl w:val="FD5C6FE2"/>
    <w:lvl w:ilvl="0" w:tplc="B5980B68">
      <w:numFmt w:val="decimal"/>
      <w:lvlText w:val="%1."/>
      <w:lvlJc w:val="left"/>
      <w:rPr>
        <w:rFonts w:cs="Times New Roman"/>
      </w:rPr>
    </w:lvl>
    <w:lvl w:ilvl="1" w:tplc="F09AD970">
      <w:start w:val="1"/>
      <w:numFmt w:val="bullet"/>
      <w:lvlText w:val="§"/>
      <w:lvlJc w:val="left"/>
    </w:lvl>
    <w:lvl w:ilvl="2" w:tplc="3C3E71E6">
      <w:numFmt w:val="decimal"/>
      <w:lvlText w:val=""/>
      <w:lvlJc w:val="left"/>
      <w:rPr>
        <w:rFonts w:cs="Times New Roman"/>
      </w:rPr>
    </w:lvl>
    <w:lvl w:ilvl="3" w:tplc="F1AC0848">
      <w:numFmt w:val="decimal"/>
      <w:lvlText w:val=""/>
      <w:lvlJc w:val="left"/>
      <w:rPr>
        <w:rFonts w:cs="Times New Roman"/>
      </w:rPr>
    </w:lvl>
    <w:lvl w:ilvl="4" w:tplc="2F82DAE6">
      <w:numFmt w:val="decimal"/>
      <w:lvlText w:val=""/>
      <w:lvlJc w:val="left"/>
      <w:rPr>
        <w:rFonts w:cs="Times New Roman"/>
      </w:rPr>
    </w:lvl>
    <w:lvl w:ilvl="5" w:tplc="41AE29FE">
      <w:numFmt w:val="decimal"/>
      <w:lvlText w:val=""/>
      <w:lvlJc w:val="left"/>
      <w:rPr>
        <w:rFonts w:cs="Times New Roman"/>
      </w:rPr>
    </w:lvl>
    <w:lvl w:ilvl="6" w:tplc="7A300984">
      <w:numFmt w:val="decimal"/>
      <w:lvlText w:val=""/>
      <w:lvlJc w:val="left"/>
      <w:rPr>
        <w:rFonts w:cs="Times New Roman"/>
      </w:rPr>
    </w:lvl>
    <w:lvl w:ilvl="7" w:tplc="4A922D48">
      <w:numFmt w:val="decimal"/>
      <w:lvlText w:val=""/>
      <w:lvlJc w:val="left"/>
      <w:rPr>
        <w:rFonts w:cs="Times New Roman"/>
      </w:rPr>
    </w:lvl>
    <w:lvl w:ilvl="8" w:tplc="9EDE1A9C">
      <w:numFmt w:val="decimal"/>
      <w:lvlText w:val=""/>
      <w:lvlJc w:val="left"/>
      <w:rPr>
        <w:rFonts w:cs="Times New Roman"/>
      </w:rPr>
    </w:lvl>
  </w:abstractNum>
  <w:abstractNum w:abstractNumId="10">
    <w:nsid w:val="75C6C33A"/>
    <w:multiLevelType w:val="hybridMultilevel"/>
    <w:tmpl w:val="4850789E"/>
    <w:lvl w:ilvl="0" w:tplc="AE9656B2">
      <w:numFmt w:val="decimal"/>
      <w:lvlText w:val="%1."/>
      <w:lvlJc w:val="left"/>
      <w:rPr>
        <w:rFonts w:cs="Times New Roman"/>
      </w:rPr>
    </w:lvl>
    <w:lvl w:ilvl="1" w:tplc="41F6C830">
      <w:start w:val="1"/>
      <w:numFmt w:val="bullet"/>
      <w:lvlText w:val="§"/>
      <w:lvlJc w:val="left"/>
    </w:lvl>
    <w:lvl w:ilvl="2" w:tplc="91F61192">
      <w:numFmt w:val="decimal"/>
      <w:lvlText w:val=""/>
      <w:lvlJc w:val="left"/>
      <w:rPr>
        <w:rFonts w:cs="Times New Roman"/>
      </w:rPr>
    </w:lvl>
    <w:lvl w:ilvl="3" w:tplc="4F76E892">
      <w:numFmt w:val="decimal"/>
      <w:lvlText w:val=""/>
      <w:lvlJc w:val="left"/>
      <w:rPr>
        <w:rFonts w:cs="Times New Roman"/>
      </w:rPr>
    </w:lvl>
    <w:lvl w:ilvl="4" w:tplc="E21E47A6">
      <w:numFmt w:val="decimal"/>
      <w:lvlText w:val=""/>
      <w:lvlJc w:val="left"/>
      <w:rPr>
        <w:rFonts w:cs="Times New Roman"/>
      </w:rPr>
    </w:lvl>
    <w:lvl w:ilvl="5" w:tplc="3E7442A0">
      <w:numFmt w:val="decimal"/>
      <w:lvlText w:val=""/>
      <w:lvlJc w:val="left"/>
      <w:rPr>
        <w:rFonts w:cs="Times New Roman"/>
      </w:rPr>
    </w:lvl>
    <w:lvl w:ilvl="6" w:tplc="8586F9AA">
      <w:numFmt w:val="decimal"/>
      <w:lvlText w:val=""/>
      <w:lvlJc w:val="left"/>
      <w:rPr>
        <w:rFonts w:cs="Times New Roman"/>
      </w:rPr>
    </w:lvl>
    <w:lvl w:ilvl="7" w:tplc="8640EF48">
      <w:numFmt w:val="decimal"/>
      <w:lvlText w:val=""/>
      <w:lvlJc w:val="left"/>
      <w:rPr>
        <w:rFonts w:cs="Times New Roman"/>
      </w:rPr>
    </w:lvl>
    <w:lvl w:ilvl="8" w:tplc="32F8AA0C">
      <w:numFmt w:val="decimal"/>
      <w:lvlText w:val=""/>
      <w:lvlJc w:val="left"/>
      <w:rPr>
        <w:rFonts w:cs="Times New Roman"/>
      </w:rPr>
    </w:lvl>
  </w:abstractNum>
  <w:abstractNum w:abstractNumId="11">
    <w:nsid w:val="781E5995"/>
    <w:multiLevelType w:val="hybridMultilevel"/>
    <w:tmpl w:val="E1D42D3C"/>
    <w:lvl w:ilvl="0" w:tplc="10226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D"/>
    <w:rsid w:val="000315BD"/>
    <w:rsid w:val="00176821"/>
    <w:rsid w:val="001A55CF"/>
    <w:rsid w:val="00267B79"/>
    <w:rsid w:val="00271A1E"/>
    <w:rsid w:val="0029198D"/>
    <w:rsid w:val="002D4DE1"/>
    <w:rsid w:val="0045606D"/>
    <w:rsid w:val="0051589D"/>
    <w:rsid w:val="007143A3"/>
    <w:rsid w:val="00897F48"/>
    <w:rsid w:val="008D0843"/>
    <w:rsid w:val="00C86C79"/>
    <w:rsid w:val="00DE6EBF"/>
    <w:rsid w:val="00EE47F6"/>
    <w:rsid w:val="00F53247"/>
    <w:rsid w:val="00F94D76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6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6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6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Senko Katarzyna</dc:creator>
  <cp:lastModifiedBy>Senko Katarzyna</cp:lastModifiedBy>
  <cp:revision>15</cp:revision>
  <cp:lastPrinted>2021-07-20T13:11:00Z</cp:lastPrinted>
  <dcterms:created xsi:type="dcterms:W3CDTF">2021-07-08T12:23:00Z</dcterms:created>
  <dcterms:modified xsi:type="dcterms:W3CDTF">2021-07-21T10:28:00Z</dcterms:modified>
</cp:coreProperties>
</file>