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5387" w:leader="none"/>
        </w:tabs>
        <w:ind w:left="5670" w:hanging="0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Legnica, dnia 2</w:t>
      </w:r>
      <w:r>
        <w:rPr>
          <w:rFonts w:ascii="Cambria" w:hAnsi="Cambria"/>
          <w:sz w:val="24"/>
          <w:szCs w:val="24"/>
        </w:rPr>
        <w:t xml:space="preserve">7 </w:t>
      </w:r>
      <w:r>
        <w:rPr>
          <w:rFonts w:ascii="Cambria" w:hAnsi="Cambria"/>
          <w:sz w:val="24"/>
          <w:szCs w:val="24"/>
        </w:rPr>
        <w:t>sierpnia 2018 r.</w:t>
      </w:r>
    </w:p>
    <w:p>
      <w:pPr>
        <w:pStyle w:val="Normal"/>
        <w:tabs>
          <w:tab w:val="left" w:pos="5387" w:leader="none"/>
          <w:tab w:val="left" w:pos="5812" w:leader="none"/>
        </w:tabs>
        <w:ind w:left="5670" w:hanging="0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</w:t>
      </w:r>
    </w:p>
    <w:p>
      <w:pPr>
        <w:pStyle w:val="Normal"/>
        <w:spacing w:before="0" w:after="0"/>
        <w:ind w:left="5670" w:hanging="0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Wszyscy Wykonawcy</w:t>
      </w:r>
    </w:p>
    <w:p>
      <w:pPr>
        <w:pStyle w:val="Normal"/>
        <w:tabs>
          <w:tab w:val="left" w:pos="5387" w:leader="none"/>
          <w:tab w:val="left" w:pos="5670" w:leader="none"/>
          <w:tab w:val="left" w:pos="5812" w:leader="none"/>
        </w:tabs>
        <w:spacing w:before="0" w:after="0"/>
        <w:ind w:left="5664" w:hanging="0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ab/>
        <w:t>Strona internetowa Zamawiającego</w:t>
      </w:r>
    </w:p>
    <w:p>
      <w:pPr>
        <w:pStyle w:val="Normal"/>
        <w:tabs>
          <w:tab w:val="left" w:pos="5387" w:leader="none"/>
          <w:tab w:val="left" w:pos="5670" w:leader="none"/>
          <w:tab w:val="left" w:pos="5812" w:leader="none"/>
        </w:tabs>
        <w:spacing w:before="0" w:after="0"/>
        <w:ind w:left="5670" w:hanging="0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Tablica ogłoszeń</w:t>
      </w:r>
    </w:p>
    <w:p>
      <w:pPr>
        <w:pStyle w:val="Normal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</w:r>
    </w:p>
    <w:p>
      <w:pPr>
        <w:pStyle w:val="Normal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Dotyczy przetargu nieograniczonego na:</w:t>
      </w:r>
    </w:p>
    <w:p>
      <w:pPr>
        <w:pStyle w:val="Normal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>Dostawa pomocy dydaktycznych w celu doskonalenia jakości kształcenia na kierunkach medycznych PWSZ im. Witelona w Legnicy w ramach realizacji zadania pn. „Wsparcie rozwoju kształcenia na profilu praktycznym w publicznych uczelniach zawodowych"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2"/>
        <w:rPr/>
      </w:pPr>
      <w:r>
        <w:rPr>
          <w:rFonts w:ascii="Cambria" w:hAnsi="Cambria"/>
          <w:bCs/>
          <w:i/>
          <w:sz w:val="24"/>
          <w:szCs w:val="24"/>
        </w:rPr>
        <w:t xml:space="preserve">Postępowanie nr:  </w:t>
      </w:r>
      <w:r>
        <w:rPr>
          <w:rStyle w:val="Strong"/>
          <w:rFonts w:ascii="Cambria" w:hAnsi="Cambria"/>
          <w:i/>
          <w:sz w:val="24"/>
          <w:szCs w:val="24"/>
        </w:rPr>
        <w:t>DA.262-0</w:t>
      </w:r>
      <w:r>
        <w:rPr>
          <w:rStyle w:val="Strong"/>
          <w:rFonts w:ascii="Cambria" w:hAnsi="Cambria"/>
          <w:i/>
          <w:sz w:val="24"/>
          <w:szCs w:val="24"/>
        </w:rPr>
        <w:t>9</w:t>
      </w:r>
      <w:r>
        <w:rPr>
          <w:rStyle w:val="Strong"/>
          <w:rFonts w:ascii="Cambria" w:hAnsi="Cambria"/>
          <w:i/>
          <w:sz w:val="24"/>
          <w:szCs w:val="24"/>
        </w:rPr>
        <w:t>/2018</w:t>
      </w:r>
    </w:p>
    <w:p>
      <w:pPr>
        <w:pStyle w:val="Normal"/>
        <w:jc w:val="center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WYJAŚNIENIE TREŚCI SPECYFIKACJI ISTOTNYCH WARUNKÓW  ZAMÓWIENIA</w:t>
      </w:r>
    </w:p>
    <w:p>
      <w:pPr>
        <w:pStyle w:val="Normal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Państwowa Wyższa Szkoła Zawodowa im. Witelona w Legnicy, działając w oparciu o art. 38 ust. 2 ustawy z dnia 24 stycznia 2004 r. – Prawo zamówień publicznych, </w:t>
      </w:r>
      <w:r>
        <w:rPr>
          <w:rFonts w:ascii="Cambria" w:hAnsi="Cambria"/>
          <w:bCs/>
          <w:spacing w:val="0"/>
          <w:sz w:val="24"/>
          <w:szCs w:val="24"/>
        </w:rPr>
        <w:t>publicznych (tekst jednolity: Dz. U. z 2017 r., poz. 1579 z późn. zm.), zwanej dalej, „ustawą</w:t>
      </w:r>
      <w:r>
        <w:rPr>
          <w:rFonts w:ascii="Cambria" w:hAnsi="Cambria"/>
          <w:sz w:val="24"/>
          <w:szCs w:val="24"/>
        </w:rPr>
        <w:t xml:space="preserve">  Pzp”, przekazuje wszystkim wykonawcom treść pytań dotyczących treści Specyfikacji Istotnych Warunków Zamówienia („SIWZ”).</w:t>
      </w:r>
    </w:p>
    <w:p>
      <w:pPr>
        <w:pStyle w:val="Normal"/>
        <w:spacing w:before="0" w:after="0"/>
        <w:rPr>
          <w:rFonts w:ascii="Cambria" w:hAnsi="Cambria"/>
          <w:b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Pytanie nr 1</w:t>
      </w:r>
    </w:p>
    <w:p>
      <w:pPr>
        <w:pStyle w:val="Normal"/>
        <w:spacing w:before="0" w:after="200"/>
        <w:contextualSpacing/>
        <w:jc w:val="both"/>
        <w:rPr>
          <w:rFonts w:ascii="Times New Roman;serif" w:hAnsi="Times New Roman;serif"/>
          <w:sz w:val="24"/>
          <w:lang w:val="pl-PL"/>
        </w:rPr>
      </w:pPr>
      <w:r>
        <w:rPr>
          <w:rFonts w:eastAsia="" w:ascii="Cambria" w:hAnsi="Cambria" w:eastAsiaTheme="minorEastAsia"/>
          <w:sz w:val="24"/>
          <w:lang w:val="pl-PL"/>
        </w:rPr>
        <w:t>Część 3</w:t>
      </w:r>
    </w:p>
    <w:p>
      <w:pPr>
        <w:pStyle w:val="Normal"/>
        <w:spacing w:before="0" w:after="0"/>
        <w:rPr/>
      </w:pPr>
      <w:r>
        <w:rPr/>
        <w:t> </w:t>
      </w:r>
      <w:r>
        <w:rPr>
          <w:rFonts w:ascii="Times New Roman;serif" w:hAnsi="Times New Roman;serif"/>
          <w:sz w:val="24"/>
          <w:lang w:val="pl-PL"/>
        </w:rPr>
        <w:t>Czy Zamawiający dopuści możliwość zaoferowania w części 3 pozycji nr 7 podbieraki ratownicze o poniższych parametrach:</w:t>
      </w:r>
    </w:p>
    <w:p>
      <w:pPr>
        <w:pStyle w:val="Normal"/>
        <w:spacing w:before="0" w:after="0"/>
        <w:rPr/>
      </w:pPr>
      <w:r>
        <w:rPr/>
        <w:t> </w:t>
      </w:r>
      <w:r>
        <w:rPr>
          <w:rFonts w:ascii="Times New Roman;serif" w:hAnsi="Times New Roman;serif"/>
          <w:sz w:val="24"/>
          <w:lang w:val="pl-PL"/>
        </w:rPr>
        <w:t>Nosze podbierakowe o stelażu aluminiowym z aluminiowymi łopatkami.</w:t>
      </w:r>
    </w:p>
    <w:p>
      <w:pPr>
        <w:pStyle w:val="Normal"/>
        <w:spacing w:before="0" w:after="0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 xml:space="preserve">Posiadają wielostopniową regulację długości z blokadą położenia, 12 uchwytów transportowych rozmieszczonych na obwodzie zdystansowanych od podłoża oraz pojedynczą zapadkę umieszczona w zamkach łączących łopaty, zabezpieczającą przed przypadkowym rozpięciem </w:t>
      </w:r>
    </w:p>
    <w:p>
      <w:pPr>
        <w:pStyle w:val="Normal"/>
        <w:spacing w:before="0" w:after="0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Możliwość złożenia w pół na czas transportu oraz możliwość rozdzielenia na dwie niezależne połówki</w:t>
      </w:r>
    </w:p>
    <w:p>
      <w:pPr>
        <w:pStyle w:val="Normal"/>
        <w:spacing w:before="0" w:after="0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Łatwe do czyszczenia i dezynfekcji. Konstrukcja zabezpieczająca przed wnikaniem płynów i materiałów zakaźnych.</w:t>
      </w:r>
    </w:p>
    <w:p>
      <w:pPr>
        <w:pStyle w:val="Normal"/>
        <w:spacing w:before="0" w:after="0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Przepuszczalne dla promieni RTG w stopniu umożliwiającym diagnostykę</w:t>
      </w:r>
    </w:p>
    <w:p>
      <w:pPr>
        <w:pStyle w:val="Normal"/>
        <w:spacing w:before="0" w:after="0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Zestaw zawiera komplet 2 pasów mocujących.</w:t>
      </w:r>
    </w:p>
    <w:p>
      <w:pPr>
        <w:pStyle w:val="Normal"/>
        <w:spacing w:before="0" w:after="0"/>
        <w:rPr/>
      </w:pPr>
      <w:r>
        <w:rPr/>
        <w:t> </w:t>
      </w:r>
      <w:r>
        <w:rPr>
          <w:rFonts w:ascii="Times New Roman;serif" w:hAnsi="Times New Roman;serif"/>
          <w:b/>
          <w:sz w:val="24"/>
          <w:u w:val="single"/>
          <w:lang w:val="pl-PL"/>
        </w:rPr>
        <w:t xml:space="preserve">PARAMETRY TECHNICZNE  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>
          <w:rFonts w:ascii="Calibri;sans-serif" w:hAnsi="Calibri;sans-serif"/>
          <w:sz w:val="22"/>
          <w:lang w:val="pl-PL"/>
        </w:rPr>
      </w:pPr>
      <w:r>
        <w:rPr>
          <w:rFonts w:ascii="Times New Roman;serif" w:hAnsi="Times New Roman;serif"/>
          <w:sz w:val="24"/>
          <w:lang w:val="pl-PL"/>
        </w:rPr>
        <w:t>Wymiary zasadnicze  wys/szer/gł [mm]- 1680x420x60</w:t>
      </w:r>
      <w:r>
        <w:rPr>
          <w:rFonts w:ascii="Calibri;sans-serif" w:hAnsi="Calibri;sans-serif"/>
          <w:color w:val="FF0000"/>
          <w:sz w:val="22"/>
          <w:lang w:val="pl-PL"/>
        </w:rPr>
        <w:t xml:space="preserve"> 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>
          <w:rFonts w:ascii="Calibri;sans-serif" w:hAnsi="Calibri;sans-serif"/>
          <w:color w:val="000000"/>
          <w:sz w:val="22"/>
          <w:lang w:val="pl-PL"/>
        </w:rPr>
      </w:pPr>
      <w:r>
        <w:rPr>
          <w:rFonts w:ascii="Times New Roman;serif" w:hAnsi="Times New Roman;serif"/>
          <w:color w:val="000000"/>
          <w:sz w:val="24"/>
          <w:lang w:val="pl-PL"/>
        </w:rPr>
        <w:t xml:space="preserve">Nosze złożone - wymiary wys/szer/gł. </w:t>
      </w:r>
      <w:r>
        <w:rPr>
          <w:rFonts w:ascii="Times New Roman;serif" w:hAnsi="Times New Roman;serif"/>
          <w:color w:val="000000"/>
          <w:sz w:val="24"/>
          <w:lang w:val="it-IT"/>
        </w:rPr>
        <w:t>[mm] – 1200x420x60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>
          <w:rFonts w:ascii="Calibri;sans-serif" w:hAnsi="Calibri;sans-serif"/>
          <w:color w:val="FF0000"/>
          <w:sz w:val="22"/>
          <w:lang w:val="pl-PL"/>
        </w:rPr>
      </w:pPr>
      <w:r>
        <w:rPr>
          <w:rFonts w:ascii="Times New Roman;serif" w:hAnsi="Times New Roman;serif"/>
          <w:color w:val="000000"/>
          <w:sz w:val="24"/>
          <w:lang w:val="it-IT"/>
        </w:rPr>
        <w:t>Zakres</w:t>
      </w:r>
      <w:r>
        <w:rPr>
          <w:rFonts w:ascii="Calibri;sans-serif" w:hAnsi="Calibri;sans-serif"/>
          <w:color w:val="000D00"/>
          <w:sz w:val="22"/>
          <w:lang w:val="pl-PL"/>
        </w:rPr>
        <w:t xml:space="preserve"> </w:t>
      </w:r>
      <w:r>
        <w:rPr>
          <w:rFonts w:ascii="Times New Roman;serif" w:hAnsi="Times New Roman;serif"/>
          <w:color w:val="000D00"/>
          <w:sz w:val="24"/>
          <w:lang w:val="it-IT"/>
        </w:rPr>
        <w:t>regulacji [mm] – 1680-2020</w:t>
      </w:r>
      <w:r>
        <w:rPr>
          <w:rFonts w:ascii="Calibri;sans-serif" w:hAnsi="Calibri;sans-serif"/>
          <w:color w:val="FF0000"/>
          <w:sz w:val="22"/>
          <w:lang w:val="pl-PL"/>
        </w:rPr>
        <w:t xml:space="preserve">  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Waga – 10 kg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Dopuszczalne obciążenie: 159 kg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 xml:space="preserve">Materiał – aluminium 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Cechy materiału – lekkie, wytrzymałe na kontakt z szorstkim podłożem</w:t>
      </w:r>
    </w:p>
    <w:p>
      <w:pPr>
        <w:pStyle w:val="Tretekstu"/>
        <w:numPr>
          <w:ilvl w:val="0"/>
          <w:numId w:val="1"/>
        </w:numPr>
        <w:tabs>
          <w:tab w:val="left" w:pos="0" w:leader="none"/>
        </w:tabs>
        <w:ind w:left="707" w:hanging="283"/>
        <w:rPr>
          <w:rFonts w:ascii="Times New Roman;serif" w:hAnsi="Times New Roman;serif"/>
          <w:sz w:val="24"/>
          <w:lang w:val="pl-PL"/>
        </w:rPr>
      </w:pPr>
      <w:r>
        <w:rPr>
          <w:rFonts w:ascii="Times New Roman;serif" w:hAnsi="Times New Roman;serif"/>
          <w:sz w:val="24"/>
          <w:lang w:val="pl-PL"/>
        </w:rPr>
        <w:t>Kolor – stalowy</w:t>
      </w:r>
    </w:p>
    <w:p>
      <w:pPr>
        <w:pStyle w:val="Normal"/>
        <w:spacing w:before="0" w:after="0"/>
        <w:jc w:val="both"/>
        <w:rPr/>
      </w:pPr>
      <w:r>
        <w:rPr>
          <w:rFonts w:ascii="Cambria" w:hAnsi="Cambria" w:asciiTheme="majorHAnsi" w:hAnsiTheme="majorHAnsi"/>
          <w:b/>
          <w:sz w:val="24"/>
          <w:szCs w:val="24"/>
          <w:u w:val="single"/>
        </w:rPr>
        <w:t>Odpowiedź na pytanie nr 1:</w:t>
      </w:r>
    </w:p>
    <w:p>
      <w:pPr>
        <w:pStyle w:val="Normal"/>
        <w:spacing w:before="0" w:after="240"/>
        <w:rPr/>
      </w:pPr>
      <w:r>
        <w:rPr>
          <w:rFonts w:cs="Arial" w:ascii="Cambria" w:hAnsi="Cambria"/>
          <w:color w:val="000000"/>
          <w:sz w:val="24"/>
        </w:rPr>
        <w:t xml:space="preserve">Zamawiający dopuszcza </w:t>
      </w:r>
      <w:r>
        <w:rPr>
          <w:rFonts w:cs="Arial" w:ascii="Cambria" w:hAnsi="Cambria"/>
          <w:color w:val="000000"/>
          <w:sz w:val="24"/>
        </w:rPr>
        <w:t>takie podbieraki.</w:t>
      </w:r>
    </w:p>
    <w:p>
      <w:pPr>
        <w:pStyle w:val="Normal"/>
        <w:ind w:left="4248" w:firstLine="708"/>
        <w:jc w:val="both"/>
        <w:rPr/>
      </w:pPr>
      <w:r>
        <w:rPr/>
      </w:r>
    </w:p>
    <w:p>
      <w:pPr>
        <w:pStyle w:val="Normal"/>
        <w:ind w:left="4248" w:firstLine="708"/>
        <w:jc w:val="both"/>
        <w:rPr/>
      </w:pPr>
      <w:r>
        <w:rPr/>
        <w:t>.................................................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Book Antiqua">
    <w:charset w:val="ee"/>
    <w:family w:val="roman"/>
    <w:pitch w:val="variable"/>
  </w:font>
  <w:font w:name="Cambria">
    <w:charset w:val="ee"/>
    <w:family w:val="roman"/>
    <w:pitch w:val="variable"/>
  </w:font>
  <w:font w:name="Cambria">
    <w:charset w:val="01"/>
    <w:family w:val="roman"/>
    <w:pitch w:val="variable"/>
  </w:font>
  <w:font w:name="Times New Roman">
    <w:altName w:val="serif"/>
    <w:charset w:val="ee"/>
    <w:family w:val="auto"/>
    <w:pitch w:val="default"/>
  </w:font>
  <w:font w:name="Calibri">
    <w:altName w:val="sans-serif"/>
    <w:charset w:val="ee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427fe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eastAsia="pl-PL" w:val="pl-PL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99"/>
    <w:qFormat/>
    <w:rsid w:val="007427fe"/>
    <w:rPr>
      <w:rFonts w:cs="Times New Roman"/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eastAsia="Times New Roma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ea5f7a"/>
    <w:pPr>
      <w:spacing w:lineRule="auto" w:line="240" w:before="0" w:after="0"/>
      <w:ind w:left="720" w:hanging="0"/>
    </w:pPr>
    <w:rPr>
      <w:rFonts w:eastAsia="Calibri"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qFormat/>
    <w:rsid w:val="00c255f2"/>
    <w:pPr>
      <w:spacing w:lineRule="auto" w:line="240" w:before="0" w:after="0"/>
    </w:pPr>
    <w:rPr>
      <w:rFonts w:ascii="Times New Roman" w:hAnsi="Times New Roman" w:eastAsia="Calibri" w:eastAsiaTheme="minorHAnsi"/>
      <w:sz w:val="24"/>
      <w:szCs w:val="24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paragraph" w:styleId="Default">
    <w:name w:val="Default"/>
    <w:qFormat/>
    <w:pPr>
      <w:widowControl w:val="false"/>
      <w:spacing w:lineRule="auto" w:line="276" w:before="0" w:after="200"/>
      <w:jc w:val="left"/>
    </w:pPr>
    <w:rPr>
      <w:rFonts w:ascii="Book Antiqua" w:hAnsi="Book Antiqua" w:eastAsia="Calibri" w:cs=""/>
      <w:color w:val="000000"/>
      <w:sz w:val="24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0DE4A-E80D-48FE-A156-7BACF2283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Application>LibreOffice/5.0.2.2$Windows_x86 LibreOffice_project/37b43f919e4de5eeaca9b9755ed688758a8251fe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2018-08-24T10:44:00Z</dcterms:created>
  <dc:creator>wetulanik</dc:creator>
  <dc:language>pl-PL</dc:language>
  <cp:lastPrinted>2016-07-25T12:00:00Z</cp:lastPrinted>
  <dcterms:modified xsi:type="dcterms:W3CDTF">2018-08-27T12:33:51Z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